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D26E9" w14:textId="70D4C301" w:rsidR="00451C1F" w:rsidRPr="00451C1F" w:rsidRDefault="00FB37E5" w:rsidP="00451C1F">
      <w:pPr>
        <w:pStyle w:val="3GPPHeader"/>
        <w:spacing w:after="0"/>
        <w:rPr>
          <w:rFonts w:ascii="Arial" w:hAnsi="Arial" w:cs="Arial"/>
          <w:sz w:val="22"/>
          <w:lang w:val="en-US"/>
        </w:rPr>
      </w:pPr>
      <w:r>
        <w:rPr>
          <w:rFonts w:ascii="Arial" w:hAnsi="Arial" w:cs="Arial"/>
          <w:sz w:val="22"/>
          <w:lang w:val="en-US"/>
        </w:rPr>
        <w:t>3GPP TSG-RAN WG2 #109</w:t>
      </w:r>
      <w:r w:rsidR="008F122A">
        <w:rPr>
          <w:rFonts w:ascii="Arial" w:hAnsi="Arial" w:cs="Arial"/>
          <w:sz w:val="22"/>
          <w:lang w:val="en-US"/>
        </w:rPr>
        <w:t>bis</w:t>
      </w:r>
      <w:r w:rsidR="00C954F9">
        <w:rPr>
          <w:rFonts w:ascii="Arial" w:hAnsi="Arial" w:cs="Arial"/>
          <w:sz w:val="22"/>
          <w:lang w:val="en-US"/>
        </w:rPr>
        <w:t>-e</w:t>
      </w:r>
      <w:r w:rsidR="00451C1F" w:rsidRPr="00451C1F">
        <w:rPr>
          <w:rFonts w:ascii="Arial" w:hAnsi="Arial" w:cs="Arial"/>
          <w:sz w:val="22"/>
          <w:lang w:val="en-US"/>
        </w:rPr>
        <w:tab/>
      </w:r>
      <w:r w:rsidR="0040362E">
        <w:rPr>
          <w:rFonts w:ascii="Arial" w:hAnsi="Arial" w:cs="Arial"/>
          <w:sz w:val="22"/>
          <w:lang w:val="en-US"/>
        </w:rPr>
        <w:t>R2-2003038</w:t>
      </w:r>
    </w:p>
    <w:p w14:paraId="28999C43" w14:textId="1F43D53B" w:rsidR="00451C1F" w:rsidRDefault="008D7F5C" w:rsidP="00451C1F">
      <w:pPr>
        <w:pStyle w:val="3GPPHeader"/>
        <w:spacing w:after="0"/>
        <w:rPr>
          <w:rFonts w:ascii="Arial" w:hAnsi="Arial" w:cs="Arial"/>
          <w:sz w:val="22"/>
          <w:lang w:val="en-US"/>
        </w:rPr>
      </w:pPr>
      <w:r>
        <w:rPr>
          <w:rFonts w:ascii="Arial" w:hAnsi="Arial" w:cs="Arial"/>
          <w:sz w:val="22"/>
          <w:lang w:val="en-US"/>
        </w:rPr>
        <w:t>Electronic meeting</w:t>
      </w:r>
      <w:r w:rsidR="00214F7E">
        <w:rPr>
          <w:rFonts w:ascii="Arial" w:hAnsi="Arial" w:cs="Arial"/>
          <w:sz w:val="22"/>
          <w:lang w:val="en-US"/>
        </w:rPr>
        <w:t>, 20th – 30th April</w:t>
      </w:r>
      <w:r w:rsidR="00FB37E5">
        <w:rPr>
          <w:rFonts w:ascii="Arial" w:hAnsi="Arial" w:cs="Arial"/>
          <w:sz w:val="22"/>
          <w:lang w:val="en-US"/>
        </w:rPr>
        <w:t xml:space="preserve"> 2020</w:t>
      </w:r>
    </w:p>
    <w:p w14:paraId="582AAB29" w14:textId="56B63EF2" w:rsidR="00B9221F" w:rsidRPr="0050109B" w:rsidRDefault="00B9221F" w:rsidP="00451C1F">
      <w:pPr>
        <w:pStyle w:val="3GPPHeader"/>
        <w:spacing w:after="0"/>
        <w:rPr>
          <w:rFonts w:ascii="Arial" w:hAnsi="Arial" w:cs="Arial"/>
          <w:sz w:val="22"/>
          <w:lang w:val="en-US"/>
        </w:rPr>
      </w:pPr>
      <w:r w:rsidRPr="0050109B">
        <w:rPr>
          <w:rFonts w:ascii="Arial" w:hAnsi="Arial" w:cs="Arial"/>
          <w:sz w:val="22"/>
          <w:lang w:val="en-US"/>
        </w:rPr>
        <w:tab/>
      </w:r>
    </w:p>
    <w:p w14:paraId="77F5235A" w14:textId="736CD2EF" w:rsidR="00B9221F" w:rsidRPr="009A5FB6" w:rsidRDefault="00B9221F" w:rsidP="00B9221F">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0F6C44" w:rsidRPr="000F6C44">
        <w:rPr>
          <w:rFonts w:ascii="Arial" w:hAnsi="Arial" w:cs="Arial"/>
          <w:b w:val="0"/>
          <w:sz w:val="22"/>
          <w:lang w:val="en-US"/>
        </w:rPr>
        <w:t>6.9.4</w:t>
      </w:r>
      <w:r w:rsidR="000F6C44">
        <w:rPr>
          <w:rFonts w:ascii="Arial" w:hAnsi="Arial" w:cs="Arial"/>
          <w:b w:val="0"/>
          <w:sz w:val="22"/>
          <w:lang w:val="en-US"/>
        </w:rPr>
        <w:t xml:space="preserve"> </w:t>
      </w:r>
      <w:r w:rsidR="000F6C44" w:rsidRPr="000F6C44">
        <w:rPr>
          <w:rFonts w:ascii="Arial" w:hAnsi="Arial" w:cs="Arial"/>
          <w:b w:val="0"/>
          <w:sz w:val="22"/>
          <w:lang w:val="en-US"/>
        </w:rPr>
        <w:t>Conditional PSCell addition/change</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15AD5F85"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7571A9">
        <w:rPr>
          <w:rFonts w:ascii="Arial" w:hAnsi="Arial" w:cs="Arial"/>
          <w:b w:val="0"/>
          <w:sz w:val="22"/>
          <w:lang w:val="en-US"/>
        </w:rPr>
        <w:t>Remaining issue</w:t>
      </w:r>
      <w:r w:rsidR="00F935A1">
        <w:rPr>
          <w:rFonts w:ascii="Arial" w:hAnsi="Arial" w:cs="Arial"/>
          <w:b w:val="0"/>
          <w:sz w:val="22"/>
          <w:lang w:val="en-US"/>
        </w:rPr>
        <w:t xml:space="preserve"> for c</w:t>
      </w:r>
      <w:r w:rsidR="003219B5" w:rsidRPr="000F6C44">
        <w:rPr>
          <w:rFonts w:ascii="Arial" w:hAnsi="Arial" w:cs="Arial"/>
          <w:b w:val="0"/>
          <w:sz w:val="22"/>
          <w:lang w:val="en-US"/>
        </w:rPr>
        <w:t>onditional PSCell change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7571A9">
      <w:pPr>
        <w:pStyle w:val="Heading1"/>
      </w:pPr>
      <w:r w:rsidRPr="007571A9">
        <w:t>Introduction</w:t>
      </w:r>
    </w:p>
    <w:p w14:paraId="6357BEB3" w14:textId="506A5DC7" w:rsidR="00492D60" w:rsidRDefault="00D31DD6" w:rsidP="00D31DD6">
      <w:bookmarkStart w:id="0" w:name="_Toc242573354"/>
      <w:r>
        <w:t xml:space="preserve">In the work item for NR Mobility Enhancements </w:t>
      </w:r>
      <w:r>
        <w:fldChar w:fldCharType="begin"/>
      </w:r>
      <w:r>
        <w:instrText xml:space="preserve"> REF _Ref524694582 \r \h </w:instrText>
      </w:r>
      <w:r>
        <w:fldChar w:fldCharType="separate"/>
      </w:r>
      <w:r w:rsidR="00133147">
        <w:t>[1]</w:t>
      </w:r>
      <w:r>
        <w:fldChar w:fldCharType="end"/>
      </w:r>
      <w:r>
        <w:t>, one objective is to improve the robustness at handover. In RAN2#105</w:t>
      </w:r>
      <w:r w:rsidR="005E1A46">
        <w:t xml:space="preserve">bis </w:t>
      </w:r>
      <w:r w:rsidR="006F2CBB">
        <w:t>was</w:t>
      </w:r>
      <w:r>
        <w:t xml:space="preserve"> agreed to support Conditional handover (CHO)</w:t>
      </w:r>
      <w:r w:rsidR="006F2CBB">
        <w:t xml:space="preserve"> in NR and in RAN2#107 it was agreed to support conditional NR PSCell addition/change. </w:t>
      </w:r>
      <w:r w:rsidR="00E5429E">
        <w:t>Later in RAN86</w:t>
      </w:r>
      <w:r w:rsidR="00492D60">
        <w:t xml:space="preserve"> it was decided to limit the scope in rel-16 to intra SN change without MN involvement:</w:t>
      </w:r>
    </w:p>
    <w:p w14:paraId="4B6BE8B4" w14:textId="54A176A3" w:rsidR="00D31DD6" w:rsidRDefault="004E7CE6" w:rsidP="00D31DD6">
      <w:r>
        <w:t xml:space="preserve"> </w:t>
      </w:r>
      <w:r w:rsidR="00492D60" w:rsidRPr="00492D60">
        <w:t></w:t>
      </w:r>
      <w:r w:rsidR="00492D60" w:rsidRPr="00492D60">
        <w:tab/>
        <w:t xml:space="preserve">Conditional handover based NR PSCell addition/change for any architecture option with NR PSCell- </w:t>
      </w:r>
      <w:r w:rsidR="00492D60" w:rsidRPr="00492D60">
        <w:rPr>
          <w:highlight w:val="yellow"/>
        </w:rPr>
        <w:t>limit to intra SN change without MN involvement</w:t>
      </w:r>
      <w:r w:rsidR="00492D60" w:rsidRPr="00492D60">
        <w:t>;</w:t>
      </w:r>
    </w:p>
    <w:p w14:paraId="4EABDBF1" w14:textId="66B97147" w:rsidR="00AF0A9D" w:rsidRPr="00492D60" w:rsidRDefault="008F122A" w:rsidP="00AF0A9D">
      <w:r>
        <w:t xml:space="preserve">RAN2 has proceeded with the work and </w:t>
      </w:r>
      <w:r w:rsidR="00093EF4">
        <w:t xml:space="preserve">aims at finalizing CPC-intra SN change in rel-16. </w:t>
      </w:r>
      <w:r w:rsidR="000F6C44">
        <w:t xml:space="preserve">In </w:t>
      </w:r>
      <w:r w:rsidR="00492D60">
        <w:t xml:space="preserve">this contribution </w:t>
      </w:r>
      <w:r w:rsidR="00AA1754">
        <w:t>a</w:t>
      </w:r>
      <w:r w:rsidR="007571A9">
        <w:t xml:space="preserve"> remaining issue</w:t>
      </w:r>
      <w:r w:rsidR="00093EF4">
        <w:t xml:space="preserve"> for CPC is</w:t>
      </w:r>
      <w:r w:rsidR="00492D60">
        <w:t xml:space="preserve"> discussed. </w:t>
      </w:r>
    </w:p>
    <w:p w14:paraId="4409E02E" w14:textId="40E45914" w:rsidR="00D87A99" w:rsidRDefault="009D725A" w:rsidP="007571A9">
      <w:pPr>
        <w:pStyle w:val="Heading1"/>
      </w:pPr>
      <w:r w:rsidRPr="00CE7F6F">
        <w:t>Discussion</w:t>
      </w:r>
      <w:bookmarkEnd w:id="0"/>
    </w:p>
    <w:p w14:paraId="77248773" w14:textId="72F622A8" w:rsidR="00D033C2" w:rsidRPr="007571A9" w:rsidRDefault="00D033C2" w:rsidP="00D033C2">
      <w:pPr>
        <w:pStyle w:val="Heading2"/>
      </w:pPr>
      <w:r>
        <w:t>Simultaneous CHO + CPC configuration</w:t>
      </w:r>
    </w:p>
    <w:p w14:paraId="4F6D470E" w14:textId="5B271B7A" w:rsidR="00D033C2" w:rsidRDefault="00D033C2" w:rsidP="00D033C2">
      <w:pPr>
        <w:rPr>
          <w:lang w:val="en-GB" w:eastAsia="zh-CN"/>
        </w:rPr>
      </w:pPr>
      <w:r>
        <w:rPr>
          <w:lang w:val="en-GB" w:eastAsia="zh-CN"/>
        </w:rPr>
        <w:t xml:space="preserve">In </w:t>
      </w:r>
      <w:r w:rsidR="004F7DA1">
        <w:rPr>
          <w:lang w:val="en-GB" w:eastAsia="zh-CN"/>
        </w:rPr>
        <w:t>e-mail discussion</w:t>
      </w:r>
      <w:r w:rsidR="004F7DA1" w:rsidRPr="004F7DA1">
        <w:t xml:space="preserve"> </w:t>
      </w:r>
      <w:r w:rsidR="004F7DA1">
        <w:t>“</w:t>
      </w:r>
      <w:r w:rsidR="004F7DA1" w:rsidRPr="004F7DA1">
        <w:rPr>
          <w:lang w:val="en-GB" w:eastAsia="zh-CN"/>
        </w:rPr>
        <w:t>[Pre109e][eMOB/FeMOB] Summary of Conditional PSCell change in AI 6.9.4</w:t>
      </w:r>
      <w:r w:rsidR="004F7DA1">
        <w:rPr>
          <w:lang w:val="en-GB" w:eastAsia="zh-CN"/>
        </w:rPr>
        <w:t xml:space="preserve">” </w:t>
      </w:r>
      <w:r w:rsidR="00DB4164">
        <w:rPr>
          <w:lang w:val="en-GB" w:eastAsia="zh-CN"/>
        </w:rPr>
        <w:t xml:space="preserve"> RAN2 </w:t>
      </w:r>
      <w:r w:rsidR="004F7DA1">
        <w:rPr>
          <w:lang w:val="en-GB" w:eastAsia="zh-CN"/>
        </w:rPr>
        <w:t>discussed whet</w:t>
      </w:r>
      <w:r w:rsidR="0029201C">
        <w:rPr>
          <w:lang w:val="en-GB" w:eastAsia="zh-CN"/>
        </w:rPr>
        <w:t>h</w:t>
      </w:r>
      <w:r w:rsidR="004F7DA1">
        <w:rPr>
          <w:lang w:val="en-GB" w:eastAsia="zh-CN"/>
        </w:rPr>
        <w:t xml:space="preserve">er to allow </w:t>
      </w:r>
      <w:r w:rsidR="00DB4164">
        <w:rPr>
          <w:lang w:val="en-GB" w:eastAsia="zh-CN"/>
        </w:rPr>
        <w:t>simul</w:t>
      </w:r>
      <w:r w:rsidR="001B74F3">
        <w:rPr>
          <w:lang w:val="en-GB" w:eastAsia="zh-CN"/>
        </w:rPr>
        <w:t>taneous CHO + CPC configuration</w:t>
      </w:r>
      <w:r w:rsidR="004F7DA1">
        <w:rPr>
          <w:lang w:val="en-GB" w:eastAsia="zh-CN"/>
        </w:rPr>
        <w:t>s</w:t>
      </w:r>
      <w:r w:rsidR="001B74F3">
        <w:rPr>
          <w:lang w:val="en-GB" w:eastAsia="zh-CN"/>
        </w:rPr>
        <w:t>.</w:t>
      </w:r>
      <w:r w:rsidR="00DB4164">
        <w:rPr>
          <w:lang w:val="en-GB" w:eastAsia="zh-CN"/>
        </w:rPr>
        <w:t xml:space="preserve"> </w:t>
      </w:r>
      <w:r w:rsidR="0029201C">
        <w:rPr>
          <w:lang w:val="en-GB" w:eastAsia="zh-CN"/>
        </w:rPr>
        <w:t>The following options were defined:</w:t>
      </w:r>
    </w:p>
    <w:p w14:paraId="157B324E" w14:textId="77777777" w:rsidR="00F62C14" w:rsidRPr="00F62C14" w:rsidRDefault="00F62C14" w:rsidP="00F62C14">
      <w:pPr>
        <w:spacing w:after="180" w:line="240" w:lineRule="auto"/>
        <w:jc w:val="both"/>
        <w:rPr>
          <w:rFonts w:ascii="Times New Roman" w:eastAsia="SimSun" w:hAnsi="Times New Roman"/>
          <w:szCs w:val="20"/>
          <w:lang w:val="en-GB" w:eastAsia="zh-CN"/>
        </w:rPr>
      </w:pPr>
      <w:r w:rsidRPr="00F62C14">
        <w:rPr>
          <w:rFonts w:ascii="Times New Roman" w:eastAsia="SimSun" w:hAnsi="Times New Roman"/>
          <w:szCs w:val="20"/>
          <w:lang w:val="en-GB" w:eastAsia="zh-CN"/>
        </w:rPr>
        <w:t>S1_5:</w:t>
      </w:r>
      <w:r w:rsidRPr="00F62C14">
        <w:rPr>
          <w:rFonts w:ascii="Times New Roman" w:eastAsia="SimSun" w:hAnsi="Times New Roman"/>
          <w:szCs w:val="20"/>
          <w:lang w:val="en-GB" w:eastAsia="zh-CN"/>
        </w:rPr>
        <w:tab/>
        <w:t>Discuss how to handle the simultaneous CHO and CPC configurations.</w:t>
      </w:r>
    </w:p>
    <w:p w14:paraId="32459D8C" w14:textId="77777777" w:rsidR="00F62C14" w:rsidRPr="00F62C14" w:rsidRDefault="00F62C14" w:rsidP="00F62C14">
      <w:pPr>
        <w:spacing w:after="180" w:line="240" w:lineRule="auto"/>
        <w:ind w:left="284"/>
        <w:jc w:val="both"/>
        <w:rPr>
          <w:rFonts w:ascii="Times New Roman" w:eastAsia="SimSun" w:hAnsi="Times New Roman"/>
          <w:szCs w:val="20"/>
          <w:lang w:val="en-GB" w:eastAsia="zh-CN"/>
        </w:rPr>
      </w:pPr>
      <w:r w:rsidRPr="00F62C14">
        <w:rPr>
          <w:rFonts w:ascii="Times New Roman" w:eastAsia="SimSun" w:hAnsi="Times New Roman"/>
          <w:szCs w:val="20"/>
          <w:lang w:val="en-GB" w:eastAsia="zh-CN"/>
        </w:rPr>
        <w:t>Option 1: Leave it up to the network implementation (OAM) to ensure there is no simultaneous CHO and CPC configurations (majority opinion from the email discussion 108#67).</w:t>
      </w:r>
    </w:p>
    <w:p w14:paraId="33B9DB14" w14:textId="77777777" w:rsidR="00F62C14" w:rsidRPr="00F62C14" w:rsidRDefault="00F62C14" w:rsidP="00F62C14">
      <w:pPr>
        <w:spacing w:after="180" w:line="240" w:lineRule="auto"/>
        <w:ind w:left="284"/>
        <w:jc w:val="both"/>
        <w:rPr>
          <w:rFonts w:ascii="Times New Roman" w:eastAsia="SimSun" w:hAnsi="Times New Roman"/>
          <w:szCs w:val="20"/>
          <w:lang w:val="en-GB" w:eastAsia="zh-CN"/>
        </w:rPr>
      </w:pPr>
      <w:r w:rsidRPr="00F62C14">
        <w:rPr>
          <w:rFonts w:ascii="Times New Roman" w:eastAsia="SimSun" w:hAnsi="Times New Roman"/>
          <w:szCs w:val="20"/>
          <w:lang w:val="en-GB" w:eastAsia="zh-CN"/>
        </w:rPr>
        <w:t>Option 2: Let RAN3 to consider a simple per UE based solution to ensure there is no simultaneous CHO and CPC configurations.</w:t>
      </w:r>
    </w:p>
    <w:p w14:paraId="7C165239" w14:textId="2FE00735" w:rsidR="00F62C14" w:rsidRDefault="00F62C14" w:rsidP="00F62C14">
      <w:pPr>
        <w:spacing w:after="180" w:line="240" w:lineRule="auto"/>
        <w:ind w:left="284"/>
        <w:jc w:val="both"/>
        <w:rPr>
          <w:rFonts w:ascii="Times New Roman" w:eastAsia="SimSun" w:hAnsi="Times New Roman"/>
          <w:szCs w:val="20"/>
          <w:lang w:val="en-GB" w:eastAsia="zh-CN"/>
        </w:rPr>
      </w:pPr>
      <w:r w:rsidRPr="00F62C14">
        <w:rPr>
          <w:rFonts w:ascii="Times New Roman" w:eastAsia="SimSun" w:hAnsi="Times New Roman"/>
          <w:szCs w:val="20"/>
          <w:lang w:val="en-GB" w:eastAsia="zh-CN"/>
        </w:rPr>
        <w:t xml:space="preserve">Option 3: Specify UE behaviour such that the UE should prioritise CHO over CPC configuration at the UE. </w:t>
      </w:r>
    </w:p>
    <w:p w14:paraId="40815B6A" w14:textId="07B6379C" w:rsidR="0029201C" w:rsidRPr="0029201C" w:rsidRDefault="0029201C" w:rsidP="0029201C">
      <w:pPr>
        <w:spacing w:after="180" w:line="240" w:lineRule="auto"/>
        <w:ind w:left="284"/>
        <w:jc w:val="both"/>
        <w:rPr>
          <w:rFonts w:ascii="Times New Roman" w:eastAsia="SimSun" w:hAnsi="Times New Roman"/>
          <w:szCs w:val="20"/>
          <w:lang w:val="en-GB" w:eastAsia="zh-CN"/>
        </w:rPr>
      </w:pPr>
      <w:r w:rsidRPr="0029201C">
        <w:rPr>
          <w:rFonts w:ascii="Times New Roman" w:eastAsia="SimSun" w:hAnsi="Times New Roman"/>
          <w:szCs w:val="20"/>
          <w:lang w:val="en-GB" w:eastAsia="zh-CN"/>
        </w:rPr>
        <w:t xml:space="preserve">Option 4: UE shall treat it as network error. Leave the decision to RAN3 on whether any changes are needed to ensure no simultaneous CHO+CPC. </w:t>
      </w:r>
    </w:p>
    <w:p w14:paraId="6AB4DE73" w14:textId="34035F2A" w:rsidR="00F62C14" w:rsidRDefault="00F62C14" w:rsidP="00D033C2">
      <w:pPr>
        <w:rPr>
          <w:lang w:val="en-GB" w:eastAsia="zh-CN"/>
        </w:rPr>
      </w:pPr>
      <w:bookmarkStart w:id="1" w:name="_GoBack"/>
      <w:bookmarkEnd w:id="1"/>
    </w:p>
    <w:p w14:paraId="00669CF0" w14:textId="5404E887" w:rsidR="004F7DA1" w:rsidRDefault="0029201C" w:rsidP="00D033C2">
      <w:pPr>
        <w:rPr>
          <w:lang w:val="en-GB" w:eastAsia="zh-CN"/>
        </w:rPr>
      </w:pPr>
      <w:r>
        <w:rPr>
          <w:lang w:val="en-GB" w:eastAsia="zh-CN"/>
        </w:rPr>
        <w:t xml:space="preserve">Most companies chose option 1 as it was considered the solution with the least specification impacts. </w:t>
      </w:r>
      <w:r w:rsidR="004F7DA1">
        <w:rPr>
          <w:lang w:val="en-GB" w:eastAsia="zh-CN"/>
        </w:rPr>
        <w:t>Later an issue was brought up that the MN is not aware o</w:t>
      </w:r>
      <w:r>
        <w:rPr>
          <w:lang w:val="en-GB" w:eastAsia="zh-CN"/>
        </w:rPr>
        <w:t xml:space="preserve">f what the SN configures and vice versa </w:t>
      </w:r>
      <w:r w:rsidR="004F7DA1">
        <w:rPr>
          <w:lang w:val="en-GB" w:eastAsia="zh-CN"/>
        </w:rPr>
        <w:t>and that it may be hard f</w:t>
      </w:r>
      <w:r>
        <w:rPr>
          <w:lang w:val="en-GB" w:eastAsia="zh-CN"/>
        </w:rPr>
        <w:t>or the network to guarantee that simultaneous configuration is not done</w:t>
      </w:r>
      <w:r w:rsidR="004F7DA1">
        <w:rPr>
          <w:lang w:val="en-GB" w:eastAsia="zh-CN"/>
        </w:rPr>
        <w:t>. RAN2 sent an LS to RAN3</w:t>
      </w:r>
      <w:r w:rsidR="009F1E53">
        <w:rPr>
          <w:lang w:val="en-GB" w:eastAsia="zh-CN"/>
        </w:rPr>
        <w:t xml:space="preserve"> </w:t>
      </w:r>
      <w:r w:rsidR="009F1E53">
        <w:rPr>
          <w:lang w:val="en-GB" w:eastAsia="zh-CN"/>
        </w:rPr>
        <w:fldChar w:fldCharType="begin"/>
      </w:r>
      <w:r w:rsidR="009F1E53">
        <w:rPr>
          <w:lang w:val="en-GB" w:eastAsia="zh-CN"/>
        </w:rPr>
        <w:instrText xml:space="preserve"> REF _Ref37169157 \r \h </w:instrText>
      </w:r>
      <w:r w:rsidR="009F1E53">
        <w:rPr>
          <w:lang w:val="en-GB" w:eastAsia="zh-CN"/>
        </w:rPr>
      </w:r>
      <w:r w:rsidR="009F1E53">
        <w:rPr>
          <w:lang w:val="en-GB" w:eastAsia="zh-CN"/>
        </w:rPr>
        <w:fldChar w:fldCharType="separate"/>
      </w:r>
      <w:r w:rsidR="009F1E53">
        <w:rPr>
          <w:lang w:val="en-GB" w:eastAsia="zh-CN"/>
        </w:rPr>
        <w:t>[3]</w:t>
      </w:r>
      <w:r w:rsidR="009F1E53">
        <w:rPr>
          <w:lang w:val="en-GB" w:eastAsia="zh-CN"/>
        </w:rPr>
        <w:fldChar w:fldCharType="end"/>
      </w:r>
      <w:r w:rsidR="004F7DA1">
        <w:rPr>
          <w:lang w:val="en-GB" w:eastAsia="zh-CN"/>
        </w:rPr>
        <w:t xml:space="preserve"> for </w:t>
      </w:r>
      <w:r>
        <w:rPr>
          <w:lang w:val="en-GB" w:eastAsia="zh-CN"/>
        </w:rPr>
        <w:t xml:space="preserve">further </w:t>
      </w:r>
      <w:r w:rsidR="004F7DA1">
        <w:rPr>
          <w:lang w:val="en-GB" w:eastAsia="zh-CN"/>
        </w:rPr>
        <w:t>discussion in RAN3.</w:t>
      </w:r>
    </w:p>
    <w:p w14:paraId="03EC2C56" w14:textId="79BE1501" w:rsidR="001B74F3" w:rsidRDefault="001B74F3" w:rsidP="00D033C2">
      <w:pPr>
        <w:rPr>
          <w:lang w:val="en-GB" w:eastAsia="zh-CN"/>
        </w:rPr>
      </w:pPr>
      <w:r>
        <w:rPr>
          <w:lang w:val="en-GB" w:eastAsia="zh-CN"/>
        </w:rPr>
        <w:lastRenderedPageBreak/>
        <w:t xml:space="preserve">However, looking further at what would happen if CHO + CPC would be configured together according to current specification, there doesn’t seem to be any </w:t>
      </w:r>
      <w:r w:rsidR="003D3F4A">
        <w:rPr>
          <w:lang w:val="en-GB" w:eastAsia="zh-CN"/>
        </w:rPr>
        <w:t xml:space="preserve">major </w:t>
      </w:r>
      <w:r>
        <w:rPr>
          <w:lang w:val="en-GB" w:eastAsia="zh-CN"/>
        </w:rPr>
        <w:t xml:space="preserve">problem. Upon execution of conditional reconfiguration, all existing conditional reconfigurations are deleted. </w:t>
      </w:r>
      <w:r w:rsidR="007D55B2">
        <w:rPr>
          <w:lang w:val="en-GB" w:eastAsia="zh-CN"/>
        </w:rPr>
        <w:t>From 38.33</w:t>
      </w:r>
      <w:r w:rsidR="005315A4">
        <w:rPr>
          <w:lang w:val="en-GB" w:eastAsia="zh-CN"/>
        </w:rPr>
        <w:t>1</w:t>
      </w:r>
      <w:r w:rsidR="007D55B2">
        <w:rPr>
          <w:lang w:val="en-GB" w:eastAsia="zh-CN"/>
        </w:rPr>
        <w:t>:</w:t>
      </w:r>
    </w:p>
    <w:p w14:paraId="21C26736" w14:textId="77777777" w:rsidR="007D55B2" w:rsidRPr="007D55B2" w:rsidRDefault="007D55B2" w:rsidP="007D55B2">
      <w:pPr>
        <w:overflowPunct w:val="0"/>
        <w:autoSpaceDE w:val="0"/>
        <w:autoSpaceDN w:val="0"/>
        <w:adjustRightInd w:val="0"/>
        <w:spacing w:after="180" w:line="240" w:lineRule="auto"/>
        <w:ind w:left="851" w:hanging="284"/>
        <w:rPr>
          <w:rFonts w:ascii="Times New Roman" w:eastAsia="Times New Roman" w:hAnsi="Times New Roman"/>
          <w:szCs w:val="20"/>
          <w:lang w:val="en-GB" w:eastAsia="ja-JP"/>
        </w:rPr>
      </w:pPr>
      <w:bookmarkStart w:id="2" w:name="_Hlk34682858"/>
      <w:r w:rsidRPr="007D55B2">
        <w:rPr>
          <w:rFonts w:ascii="Times New Roman" w:eastAsia="Times New Roman" w:hAnsi="Times New Roman"/>
          <w:szCs w:val="20"/>
          <w:lang w:val="en-GB" w:eastAsia="ja-JP"/>
        </w:rPr>
        <w:t>2&gt;</w:t>
      </w:r>
      <w:r w:rsidRPr="007D55B2">
        <w:rPr>
          <w:rFonts w:ascii="Times New Roman" w:eastAsia="Times New Roman" w:hAnsi="Times New Roman"/>
          <w:szCs w:val="20"/>
          <w:lang w:val="en-GB" w:eastAsia="ja-JP"/>
        </w:rPr>
        <w:tab/>
      </w:r>
      <w:r w:rsidRPr="007D55B2">
        <w:rPr>
          <w:rFonts w:ascii="Times New Roman" w:eastAsia="Times New Roman" w:hAnsi="Times New Roman"/>
          <w:szCs w:val="20"/>
          <w:highlight w:val="yellow"/>
          <w:lang w:val="en-GB" w:eastAsia="ja-JP"/>
        </w:rPr>
        <w:t xml:space="preserve">if the </w:t>
      </w:r>
      <w:r w:rsidRPr="007D55B2">
        <w:rPr>
          <w:rFonts w:ascii="Times New Roman" w:eastAsia="Times New Roman" w:hAnsi="Times New Roman"/>
          <w:i/>
          <w:szCs w:val="20"/>
          <w:highlight w:val="yellow"/>
          <w:lang w:val="en-GB" w:eastAsia="ja-JP"/>
        </w:rPr>
        <w:t>reconfigurationWithSync</w:t>
      </w:r>
      <w:r w:rsidRPr="007D55B2">
        <w:rPr>
          <w:rFonts w:ascii="Times New Roman" w:eastAsia="Times New Roman" w:hAnsi="Times New Roman"/>
          <w:szCs w:val="20"/>
          <w:highlight w:val="yellow"/>
          <w:lang w:val="en-GB" w:eastAsia="ja-JP"/>
        </w:rPr>
        <w:t xml:space="preserve"> was included in </w:t>
      </w:r>
      <w:r w:rsidRPr="007D55B2">
        <w:rPr>
          <w:rFonts w:ascii="Times New Roman" w:eastAsia="Times New Roman" w:hAnsi="Times New Roman"/>
          <w:i/>
          <w:szCs w:val="20"/>
          <w:highlight w:val="yellow"/>
          <w:lang w:val="en-GB" w:eastAsia="ja-JP"/>
        </w:rPr>
        <w:t>spCellConfig</w:t>
      </w:r>
      <w:r w:rsidRPr="007D55B2">
        <w:rPr>
          <w:rFonts w:ascii="Times New Roman" w:eastAsia="Times New Roman" w:hAnsi="Times New Roman"/>
          <w:szCs w:val="20"/>
          <w:highlight w:val="yellow"/>
          <w:lang w:val="en-GB" w:eastAsia="ja-JP"/>
        </w:rPr>
        <w:t xml:space="preserve"> of an MCG; or:</w:t>
      </w:r>
    </w:p>
    <w:p w14:paraId="39FE387E" w14:textId="77777777" w:rsidR="007D55B2" w:rsidRPr="007D55B2" w:rsidRDefault="007D55B2" w:rsidP="007D55B2">
      <w:pPr>
        <w:overflowPunct w:val="0"/>
        <w:autoSpaceDE w:val="0"/>
        <w:autoSpaceDN w:val="0"/>
        <w:adjustRightInd w:val="0"/>
        <w:spacing w:after="180" w:line="240" w:lineRule="auto"/>
        <w:ind w:left="851" w:hanging="284"/>
        <w:rPr>
          <w:rFonts w:ascii="Times New Roman" w:eastAsia="Times New Roman" w:hAnsi="Times New Roman"/>
          <w:szCs w:val="20"/>
          <w:lang w:val="en-GB" w:eastAsia="ja-JP"/>
        </w:rPr>
      </w:pPr>
      <w:r w:rsidRPr="007D55B2">
        <w:rPr>
          <w:rFonts w:ascii="Times New Roman" w:eastAsia="Times New Roman" w:hAnsi="Times New Roman"/>
          <w:szCs w:val="20"/>
          <w:lang w:val="en-GB" w:eastAsia="ja-JP"/>
        </w:rPr>
        <w:t>2&gt;</w:t>
      </w:r>
      <w:r w:rsidRPr="007D55B2">
        <w:rPr>
          <w:rFonts w:ascii="Times New Roman" w:eastAsia="Times New Roman" w:hAnsi="Times New Roman"/>
          <w:szCs w:val="20"/>
          <w:lang w:val="en-GB" w:eastAsia="ja-JP"/>
        </w:rPr>
        <w:tab/>
      </w:r>
      <w:r w:rsidRPr="007D55B2">
        <w:rPr>
          <w:rFonts w:ascii="Times New Roman" w:eastAsia="Times New Roman" w:hAnsi="Times New Roman"/>
          <w:szCs w:val="20"/>
          <w:highlight w:val="yellow"/>
          <w:lang w:val="en-GB" w:eastAsia="ja-JP"/>
        </w:rPr>
        <w:t xml:space="preserve">if the </w:t>
      </w:r>
      <w:r w:rsidRPr="007D55B2">
        <w:rPr>
          <w:rFonts w:ascii="Times New Roman" w:eastAsia="Times New Roman" w:hAnsi="Times New Roman"/>
          <w:i/>
          <w:szCs w:val="20"/>
          <w:highlight w:val="yellow"/>
          <w:lang w:val="en-GB" w:eastAsia="ja-JP"/>
        </w:rPr>
        <w:t>reconfigurationWithSync</w:t>
      </w:r>
      <w:r w:rsidRPr="007D55B2">
        <w:rPr>
          <w:rFonts w:ascii="Times New Roman" w:eastAsia="Times New Roman" w:hAnsi="Times New Roman"/>
          <w:szCs w:val="20"/>
          <w:highlight w:val="yellow"/>
          <w:lang w:val="en-GB" w:eastAsia="ja-JP"/>
        </w:rPr>
        <w:t xml:space="preserve"> was included in </w:t>
      </w:r>
      <w:r w:rsidRPr="007D55B2">
        <w:rPr>
          <w:rFonts w:ascii="Times New Roman" w:eastAsia="Times New Roman" w:hAnsi="Times New Roman"/>
          <w:i/>
          <w:szCs w:val="20"/>
          <w:highlight w:val="yellow"/>
          <w:lang w:val="en-GB" w:eastAsia="ja-JP"/>
        </w:rPr>
        <w:t>spCellConfig</w:t>
      </w:r>
      <w:r w:rsidRPr="007D55B2">
        <w:rPr>
          <w:rFonts w:ascii="Times New Roman" w:eastAsia="Times New Roman" w:hAnsi="Times New Roman"/>
          <w:szCs w:val="20"/>
          <w:highlight w:val="yellow"/>
          <w:lang w:val="en-GB" w:eastAsia="ja-JP"/>
        </w:rPr>
        <w:t xml:space="preserve"> of an SCG and the CPC was configured</w:t>
      </w:r>
    </w:p>
    <w:bookmarkEnd w:id="2"/>
    <w:p w14:paraId="68CA0440" w14:textId="77777777" w:rsidR="007D55B2" w:rsidRPr="007D55B2" w:rsidRDefault="007D55B2" w:rsidP="007D55B2">
      <w:pPr>
        <w:overflowPunct w:val="0"/>
        <w:autoSpaceDE w:val="0"/>
        <w:autoSpaceDN w:val="0"/>
        <w:adjustRightInd w:val="0"/>
        <w:spacing w:after="180" w:line="240" w:lineRule="auto"/>
        <w:ind w:left="1135" w:hanging="284"/>
        <w:rPr>
          <w:rFonts w:ascii="Times New Roman" w:eastAsia="Times New Roman" w:hAnsi="Times New Roman"/>
          <w:szCs w:val="20"/>
          <w:lang w:val="en-GB" w:eastAsia="ja-JP"/>
        </w:rPr>
      </w:pPr>
      <w:r w:rsidRPr="007D55B2">
        <w:rPr>
          <w:rFonts w:ascii="Times New Roman" w:eastAsia="Times New Roman" w:hAnsi="Times New Roman"/>
          <w:szCs w:val="20"/>
          <w:lang w:val="en-GB" w:eastAsia="ja-JP"/>
        </w:rPr>
        <w:t>3&gt;</w:t>
      </w:r>
      <w:r w:rsidRPr="007D55B2">
        <w:rPr>
          <w:rFonts w:ascii="Times New Roman" w:eastAsia="Times New Roman" w:hAnsi="Times New Roman"/>
          <w:szCs w:val="20"/>
          <w:lang w:val="en-GB" w:eastAsia="ja-JP"/>
        </w:rPr>
        <w:tab/>
      </w:r>
      <w:r w:rsidRPr="007D55B2">
        <w:rPr>
          <w:rFonts w:ascii="Times New Roman" w:eastAsia="Times New Roman" w:hAnsi="Times New Roman"/>
          <w:szCs w:val="20"/>
          <w:highlight w:val="yellow"/>
          <w:lang w:val="en-GB" w:eastAsia="ja-JP"/>
        </w:rPr>
        <w:t xml:space="preserve">remove all the entries within </w:t>
      </w:r>
      <w:r w:rsidRPr="007D55B2">
        <w:rPr>
          <w:rFonts w:ascii="Times New Roman" w:eastAsia="Times New Roman" w:hAnsi="Times New Roman"/>
          <w:i/>
          <w:szCs w:val="20"/>
          <w:highlight w:val="yellow"/>
          <w:lang w:val="en-GB" w:eastAsia="ja-JP"/>
        </w:rPr>
        <w:t>VarConditionalConfig</w:t>
      </w:r>
      <w:r w:rsidRPr="007D55B2">
        <w:rPr>
          <w:rFonts w:ascii="Times New Roman" w:eastAsia="Times New Roman" w:hAnsi="Times New Roman"/>
          <w:szCs w:val="20"/>
          <w:highlight w:val="yellow"/>
          <w:lang w:val="en-GB" w:eastAsia="ja-JP"/>
        </w:rPr>
        <w:t>, if any;</w:t>
      </w:r>
    </w:p>
    <w:p w14:paraId="2911FA38" w14:textId="77777777" w:rsidR="007D55B2" w:rsidRPr="007D55B2" w:rsidRDefault="007D55B2" w:rsidP="007D55B2">
      <w:pPr>
        <w:overflowPunct w:val="0"/>
        <w:autoSpaceDE w:val="0"/>
        <w:autoSpaceDN w:val="0"/>
        <w:adjustRightInd w:val="0"/>
        <w:spacing w:after="180" w:line="240" w:lineRule="auto"/>
        <w:ind w:left="1135" w:hanging="284"/>
        <w:rPr>
          <w:rFonts w:ascii="Times New Roman" w:eastAsia="Times New Roman" w:hAnsi="Times New Roman"/>
          <w:szCs w:val="20"/>
          <w:lang w:val="en-GB" w:eastAsia="ja-JP"/>
        </w:rPr>
      </w:pPr>
      <w:r w:rsidRPr="007D55B2">
        <w:rPr>
          <w:rFonts w:ascii="Times New Roman" w:eastAsia="Times New Roman" w:hAnsi="Times New Roman"/>
          <w:szCs w:val="20"/>
          <w:lang w:val="en-GB" w:eastAsia="ja-JP"/>
        </w:rPr>
        <w:t>3&gt;</w:t>
      </w:r>
      <w:r w:rsidRPr="007D55B2">
        <w:rPr>
          <w:rFonts w:ascii="Times New Roman" w:eastAsia="Times New Roman" w:hAnsi="Times New Roman"/>
          <w:szCs w:val="20"/>
          <w:lang w:val="en-GB" w:eastAsia="ja-JP"/>
        </w:rPr>
        <w:tab/>
        <w:t xml:space="preserve">for each </w:t>
      </w:r>
      <w:r w:rsidRPr="007D55B2">
        <w:rPr>
          <w:rFonts w:ascii="Times New Roman" w:eastAsia="Times New Roman" w:hAnsi="Times New Roman"/>
          <w:i/>
          <w:szCs w:val="20"/>
          <w:lang w:val="en-GB" w:eastAsia="ja-JP"/>
        </w:rPr>
        <w:t>measId</w:t>
      </w:r>
      <w:r w:rsidRPr="007D55B2">
        <w:rPr>
          <w:rFonts w:ascii="Times New Roman" w:eastAsia="Times New Roman" w:hAnsi="Times New Roman"/>
          <w:iCs/>
          <w:szCs w:val="20"/>
          <w:lang w:val="en-GB" w:eastAsia="ja-JP"/>
        </w:rPr>
        <w:t xml:space="preserve"> of the source SpCell configuration</w:t>
      </w:r>
      <w:r w:rsidRPr="007D55B2">
        <w:rPr>
          <w:rFonts w:ascii="Times New Roman" w:eastAsia="Times New Roman" w:hAnsi="Times New Roman"/>
          <w:szCs w:val="20"/>
          <w:lang w:val="en-GB" w:eastAsia="ja-JP"/>
        </w:rPr>
        <w:t xml:space="preserve">, if the associated </w:t>
      </w:r>
      <w:r w:rsidRPr="007D55B2">
        <w:rPr>
          <w:rFonts w:ascii="Times New Roman" w:eastAsia="Times New Roman" w:hAnsi="Times New Roman"/>
          <w:i/>
          <w:szCs w:val="20"/>
          <w:lang w:val="en-GB" w:eastAsia="ja-JP"/>
        </w:rPr>
        <w:t>reportConfig</w:t>
      </w:r>
      <w:r w:rsidRPr="007D55B2">
        <w:rPr>
          <w:rFonts w:ascii="Times New Roman" w:eastAsia="Times New Roman" w:hAnsi="Times New Roman"/>
          <w:szCs w:val="20"/>
          <w:lang w:val="en-GB" w:eastAsia="ja-JP"/>
        </w:rPr>
        <w:t xml:space="preserve"> has a </w:t>
      </w:r>
      <w:r w:rsidRPr="007D55B2">
        <w:rPr>
          <w:rFonts w:ascii="Times New Roman" w:eastAsia="Times New Roman" w:hAnsi="Times New Roman"/>
          <w:i/>
          <w:szCs w:val="20"/>
          <w:lang w:val="en-GB" w:eastAsia="ja-JP"/>
        </w:rPr>
        <w:t>reportType</w:t>
      </w:r>
      <w:r w:rsidRPr="007D55B2">
        <w:rPr>
          <w:rFonts w:ascii="Times New Roman" w:eastAsia="Times New Roman" w:hAnsi="Times New Roman"/>
          <w:szCs w:val="20"/>
          <w:lang w:val="en-GB" w:eastAsia="ja-JP"/>
        </w:rPr>
        <w:t xml:space="preserve"> set to </w:t>
      </w:r>
      <w:r w:rsidRPr="007D55B2">
        <w:rPr>
          <w:rFonts w:ascii="Times New Roman" w:eastAsia="Times New Roman" w:hAnsi="Times New Roman"/>
          <w:i/>
          <w:szCs w:val="20"/>
          <w:lang w:val="en-GB" w:eastAsia="ja-JP"/>
        </w:rPr>
        <w:t>condTriggerConfig</w:t>
      </w:r>
      <w:r w:rsidRPr="007D55B2">
        <w:rPr>
          <w:rFonts w:ascii="Times New Roman" w:eastAsia="Times New Roman" w:hAnsi="Times New Roman"/>
          <w:szCs w:val="20"/>
          <w:lang w:val="en-GB" w:eastAsia="ja-JP"/>
        </w:rPr>
        <w:t>:</w:t>
      </w:r>
    </w:p>
    <w:p w14:paraId="31B9108F" w14:textId="77777777" w:rsidR="007D55B2" w:rsidRPr="007D55B2" w:rsidRDefault="007D55B2" w:rsidP="007D55B2">
      <w:pPr>
        <w:overflowPunct w:val="0"/>
        <w:autoSpaceDE w:val="0"/>
        <w:autoSpaceDN w:val="0"/>
        <w:adjustRightInd w:val="0"/>
        <w:spacing w:after="180" w:line="240" w:lineRule="auto"/>
        <w:ind w:left="1418" w:hanging="284"/>
        <w:rPr>
          <w:rFonts w:ascii="Times New Roman" w:eastAsia="Times New Roman" w:hAnsi="Times New Roman"/>
          <w:szCs w:val="20"/>
          <w:lang w:val="en-GB" w:eastAsia="ja-JP"/>
        </w:rPr>
      </w:pPr>
      <w:r w:rsidRPr="007D55B2">
        <w:rPr>
          <w:rFonts w:ascii="Times New Roman" w:eastAsia="Times New Roman" w:hAnsi="Times New Roman"/>
          <w:szCs w:val="20"/>
          <w:lang w:val="en-GB" w:eastAsia="ja-JP"/>
        </w:rPr>
        <w:t>4&gt;</w:t>
      </w:r>
      <w:r w:rsidRPr="007D55B2">
        <w:rPr>
          <w:rFonts w:ascii="Times New Roman" w:eastAsia="Times New Roman" w:hAnsi="Times New Roman"/>
          <w:szCs w:val="20"/>
          <w:lang w:val="en-GB" w:eastAsia="ja-JP"/>
        </w:rPr>
        <w:tab/>
        <w:t xml:space="preserve">for the associated </w:t>
      </w:r>
      <w:r w:rsidRPr="007D55B2">
        <w:rPr>
          <w:rFonts w:ascii="Times New Roman" w:eastAsia="Times New Roman" w:hAnsi="Times New Roman"/>
          <w:i/>
          <w:iCs/>
          <w:szCs w:val="20"/>
          <w:lang w:val="en-GB" w:eastAsia="ja-JP"/>
        </w:rPr>
        <w:t>reportConfigId</w:t>
      </w:r>
      <w:r w:rsidRPr="007D55B2">
        <w:rPr>
          <w:rFonts w:ascii="Times New Roman" w:eastAsia="Times New Roman" w:hAnsi="Times New Roman"/>
          <w:szCs w:val="20"/>
          <w:lang w:val="en-GB" w:eastAsia="ja-JP"/>
        </w:rPr>
        <w:t>:</w:t>
      </w:r>
    </w:p>
    <w:p w14:paraId="23BD0C1A" w14:textId="77777777" w:rsidR="007D55B2" w:rsidRPr="007D55B2" w:rsidRDefault="007D55B2" w:rsidP="007D55B2">
      <w:pPr>
        <w:overflowPunct w:val="0"/>
        <w:autoSpaceDE w:val="0"/>
        <w:autoSpaceDN w:val="0"/>
        <w:adjustRightInd w:val="0"/>
        <w:spacing w:after="180" w:line="240" w:lineRule="auto"/>
        <w:ind w:left="1702" w:hanging="284"/>
        <w:rPr>
          <w:rFonts w:ascii="Times New Roman" w:eastAsia="Times New Roman" w:hAnsi="Times New Roman"/>
          <w:szCs w:val="20"/>
          <w:lang w:val="en-GB" w:eastAsia="ja-JP"/>
        </w:rPr>
      </w:pPr>
      <w:r w:rsidRPr="007D55B2">
        <w:rPr>
          <w:rFonts w:ascii="Times New Roman" w:eastAsia="Times New Roman" w:hAnsi="Times New Roman"/>
          <w:szCs w:val="20"/>
          <w:lang w:val="en-GB" w:eastAsia="ja-JP"/>
        </w:rPr>
        <w:t>5&gt;</w:t>
      </w:r>
      <w:r w:rsidRPr="007D55B2">
        <w:rPr>
          <w:rFonts w:ascii="Times New Roman" w:eastAsia="Times New Roman" w:hAnsi="Times New Roman"/>
          <w:szCs w:val="20"/>
          <w:lang w:val="en-GB" w:eastAsia="ja-JP"/>
        </w:rPr>
        <w:tab/>
        <w:t xml:space="preserve">remove the entry with the matching </w:t>
      </w:r>
      <w:r w:rsidRPr="007D55B2">
        <w:rPr>
          <w:rFonts w:ascii="Times New Roman" w:eastAsia="Times New Roman" w:hAnsi="Times New Roman"/>
          <w:i/>
          <w:szCs w:val="20"/>
          <w:lang w:val="en-GB" w:eastAsia="ja-JP"/>
        </w:rPr>
        <w:t>reportConfigId</w:t>
      </w:r>
      <w:r w:rsidRPr="007D55B2">
        <w:rPr>
          <w:rFonts w:ascii="Times New Roman" w:eastAsia="Times New Roman" w:hAnsi="Times New Roman"/>
          <w:szCs w:val="20"/>
          <w:lang w:val="en-GB" w:eastAsia="ja-JP"/>
        </w:rPr>
        <w:t xml:space="preserve"> from the </w:t>
      </w:r>
      <w:r w:rsidRPr="007D55B2">
        <w:rPr>
          <w:rFonts w:ascii="Times New Roman" w:eastAsia="Times New Roman" w:hAnsi="Times New Roman"/>
          <w:i/>
          <w:szCs w:val="20"/>
          <w:lang w:val="en-GB" w:eastAsia="ja-JP"/>
        </w:rPr>
        <w:t>reportConfigList</w:t>
      </w:r>
      <w:r w:rsidRPr="007D55B2">
        <w:rPr>
          <w:rFonts w:ascii="Times New Roman" w:eastAsia="Times New Roman" w:hAnsi="Times New Roman"/>
          <w:szCs w:val="20"/>
          <w:lang w:val="en-GB" w:eastAsia="ja-JP"/>
        </w:rPr>
        <w:t xml:space="preserve"> within the </w:t>
      </w:r>
      <w:r w:rsidRPr="007D55B2">
        <w:rPr>
          <w:rFonts w:ascii="Times New Roman" w:eastAsia="Times New Roman" w:hAnsi="Times New Roman"/>
          <w:i/>
          <w:szCs w:val="20"/>
          <w:lang w:val="en-GB" w:eastAsia="ja-JP"/>
        </w:rPr>
        <w:t>VarMeasConfig</w:t>
      </w:r>
      <w:r w:rsidRPr="007D55B2">
        <w:rPr>
          <w:rFonts w:ascii="Times New Roman" w:eastAsia="Times New Roman" w:hAnsi="Times New Roman"/>
          <w:szCs w:val="20"/>
          <w:lang w:val="en-GB" w:eastAsia="ja-JP"/>
        </w:rPr>
        <w:t>;</w:t>
      </w:r>
    </w:p>
    <w:p w14:paraId="2686063B" w14:textId="77777777" w:rsidR="007D55B2" w:rsidRPr="007D55B2" w:rsidRDefault="007D55B2" w:rsidP="007D55B2">
      <w:pPr>
        <w:overflowPunct w:val="0"/>
        <w:autoSpaceDE w:val="0"/>
        <w:autoSpaceDN w:val="0"/>
        <w:adjustRightInd w:val="0"/>
        <w:spacing w:after="180" w:line="240" w:lineRule="auto"/>
        <w:ind w:left="1418" w:hanging="284"/>
        <w:rPr>
          <w:rFonts w:ascii="Times New Roman" w:eastAsia="Times New Roman" w:hAnsi="Times New Roman"/>
          <w:szCs w:val="20"/>
          <w:lang w:val="en-GB" w:eastAsia="ja-JP"/>
        </w:rPr>
      </w:pPr>
      <w:r w:rsidRPr="007D55B2">
        <w:rPr>
          <w:rFonts w:ascii="Times New Roman" w:eastAsia="Times New Roman" w:hAnsi="Times New Roman"/>
          <w:szCs w:val="20"/>
          <w:lang w:val="en-GB" w:eastAsia="ja-JP"/>
        </w:rPr>
        <w:t>4&gt;</w:t>
      </w:r>
      <w:r w:rsidRPr="007D55B2">
        <w:rPr>
          <w:rFonts w:ascii="Times New Roman" w:eastAsia="Times New Roman" w:hAnsi="Times New Roman"/>
          <w:szCs w:val="20"/>
          <w:lang w:val="en-GB" w:eastAsia="ja-JP"/>
        </w:rPr>
        <w:tab/>
        <w:t xml:space="preserve">if the associated </w:t>
      </w:r>
      <w:r w:rsidRPr="007D55B2">
        <w:rPr>
          <w:rFonts w:ascii="Times New Roman" w:eastAsia="Times New Roman" w:hAnsi="Times New Roman"/>
          <w:i/>
          <w:iCs/>
          <w:szCs w:val="20"/>
          <w:lang w:val="en-GB" w:eastAsia="ja-JP"/>
        </w:rPr>
        <w:t>measObjectId</w:t>
      </w:r>
      <w:r w:rsidRPr="007D55B2">
        <w:rPr>
          <w:rFonts w:ascii="Times New Roman" w:eastAsia="Times New Roman" w:hAnsi="Times New Roman"/>
          <w:szCs w:val="20"/>
          <w:lang w:val="en-GB" w:eastAsia="ja-JP"/>
        </w:rPr>
        <w:t xml:space="preserve"> is only associated to a </w:t>
      </w:r>
      <w:r w:rsidRPr="007D55B2">
        <w:rPr>
          <w:rFonts w:ascii="Times New Roman" w:eastAsia="Times New Roman" w:hAnsi="Times New Roman"/>
          <w:i/>
          <w:iCs/>
          <w:szCs w:val="20"/>
          <w:lang w:val="en-GB" w:eastAsia="ja-JP"/>
        </w:rPr>
        <w:t>reportConfig</w:t>
      </w:r>
      <w:r w:rsidRPr="007D55B2">
        <w:rPr>
          <w:rFonts w:ascii="Times New Roman" w:eastAsia="Times New Roman" w:hAnsi="Times New Roman"/>
          <w:szCs w:val="20"/>
          <w:lang w:val="en-GB" w:eastAsia="ja-JP"/>
        </w:rPr>
        <w:t xml:space="preserve"> with </w:t>
      </w:r>
      <w:r w:rsidRPr="007D55B2">
        <w:rPr>
          <w:rFonts w:ascii="Times New Roman" w:eastAsia="Times New Roman" w:hAnsi="Times New Roman"/>
          <w:i/>
          <w:iCs/>
          <w:szCs w:val="20"/>
          <w:lang w:val="en-GB" w:eastAsia="ja-JP"/>
        </w:rPr>
        <w:t>reportType</w:t>
      </w:r>
      <w:r w:rsidRPr="007D55B2">
        <w:rPr>
          <w:rFonts w:ascii="Times New Roman" w:eastAsia="Times New Roman" w:hAnsi="Times New Roman"/>
          <w:szCs w:val="20"/>
          <w:lang w:val="en-GB" w:eastAsia="ja-JP"/>
        </w:rPr>
        <w:t xml:space="preserve"> set to </w:t>
      </w:r>
      <w:r w:rsidRPr="007D55B2">
        <w:rPr>
          <w:rFonts w:ascii="Times New Roman" w:eastAsia="Times New Roman" w:hAnsi="Times New Roman"/>
          <w:i/>
          <w:iCs/>
          <w:szCs w:val="20"/>
          <w:lang w:val="en-GB" w:eastAsia="ja-JP"/>
        </w:rPr>
        <w:t>cho-TriggerConfig</w:t>
      </w:r>
      <w:r w:rsidRPr="007D55B2">
        <w:rPr>
          <w:rFonts w:ascii="Times New Roman" w:eastAsia="Times New Roman" w:hAnsi="Times New Roman"/>
          <w:szCs w:val="20"/>
          <w:lang w:val="en-GB" w:eastAsia="ja-JP"/>
        </w:rPr>
        <w:t>:</w:t>
      </w:r>
    </w:p>
    <w:p w14:paraId="7EA9D587" w14:textId="77777777" w:rsidR="007D55B2" w:rsidRPr="007D55B2" w:rsidRDefault="007D55B2" w:rsidP="007D55B2">
      <w:pPr>
        <w:overflowPunct w:val="0"/>
        <w:autoSpaceDE w:val="0"/>
        <w:autoSpaceDN w:val="0"/>
        <w:adjustRightInd w:val="0"/>
        <w:spacing w:after="180" w:line="240" w:lineRule="auto"/>
        <w:ind w:left="1702" w:hanging="284"/>
        <w:rPr>
          <w:rFonts w:ascii="Times New Roman" w:eastAsia="Times New Roman" w:hAnsi="Times New Roman"/>
          <w:szCs w:val="20"/>
          <w:lang w:val="en-GB" w:eastAsia="ja-JP"/>
        </w:rPr>
      </w:pPr>
      <w:r w:rsidRPr="007D55B2">
        <w:rPr>
          <w:rFonts w:ascii="Times New Roman" w:eastAsia="Times New Roman" w:hAnsi="Times New Roman"/>
          <w:szCs w:val="20"/>
          <w:lang w:val="en-GB" w:eastAsia="ja-JP"/>
        </w:rPr>
        <w:t>5&gt;</w:t>
      </w:r>
      <w:r w:rsidRPr="007D55B2">
        <w:rPr>
          <w:rFonts w:ascii="Times New Roman" w:eastAsia="Times New Roman" w:hAnsi="Times New Roman"/>
          <w:szCs w:val="20"/>
          <w:lang w:val="en-GB" w:eastAsia="ja-JP"/>
        </w:rPr>
        <w:tab/>
        <w:t xml:space="preserve">remove the entry with the matching </w:t>
      </w:r>
      <w:r w:rsidRPr="007D55B2">
        <w:rPr>
          <w:rFonts w:ascii="Times New Roman" w:eastAsia="Times New Roman" w:hAnsi="Times New Roman"/>
          <w:i/>
          <w:iCs/>
          <w:szCs w:val="20"/>
          <w:lang w:val="en-GB" w:eastAsia="ja-JP"/>
        </w:rPr>
        <w:t>measObjectId</w:t>
      </w:r>
      <w:r w:rsidRPr="007D55B2">
        <w:rPr>
          <w:rFonts w:ascii="Times New Roman" w:eastAsia="Times New Roman" w:hAnsi="Times New Roman"/>
          <w:szCs w:val="20"/>
          <w:lang w:val="en-GB" w:eastAsia="ja-JP"/>
        </w:rPr>
        <w:t xml:space="preserve"> from the </w:t>
      </w:r>
      <w:r w:rsidRPr="007D55B2">
        <w:rPr>
          <w:rFonts w:ascii="Times New Roman" w:eastAsia="Times New Roman" w:hAnsi="Times New Roman"/>
          <w:i/>
          <w:szCs w:val="20"/>
          <w:lang w:val="en-GB" w:eastAsia="ja-JP"/>
        </w:rPr>
        <w:t>measObjectList</w:t>
      </w:r>
      <w:r w:rsidRPr="007D55B2">
        <w:rPr>
          <w:rFonts w:ascii="Times New Roman" w:eastAsia="Times New Roman" w:hAnsi="Times New Roman"/>
          <w:szCs w:val="20"/>
          <w:lang w:val="en-GB" w:eastAsia="ja-JP"/>
        </w:rPr>
        <w:t xml:space="preserve"> within the </w:t>
      </w:r>
      <w:r w:rsidRPr="007D55B2">
        <w:rPr>
          <w:rFonts w:ascii="Times New Roman" w:eastAsia="Times New Roman" w:hAnsi="Times New Roman"/>
          <w:i/>
          <w:szCs w:val="20"/>
          <w:lang w:val="en-GB" w:eastAsia="ja-JP"/>
        </w:rPr>
        <w:t>VarMeasConfig</w:t>
      </w:r>
      <w:r w:rsidRPr="007D55B2">
        <w:rPr>
          <w:rFonts w:ascii="Times New Roman" w:eastAsia="Times New Roman" w:hAnsi="Times New Roman"/>
          <w:szCs w:val="20"/>
          <w:lang w:val="en-GB" w:eastAsia="ja-JP"/>
        </w:rPr>
        <w:t>;</w:t>
      </w:r>
    </w:p>
    <w:p w14:paraId="5471A2EA" w14:textId="77777777" w:rsidR="007D55B2" w:rsidRPr="007D55B2" w:rsidRDefault="007D55B2" w:rsidP="007D55B2">
      <w:pPr>
        <w:overflowPunct w:val="0"/>
        <w:autoSpaceDE w:val="0"/>
        <w:autoSpaceDN w:val="0"/>
        <w:adjustRightInd w:val="0"/>
        <w:spacing w:after="180" w:line="240" w:lineRule="auto"/>
        <w:ind w:left="1418" w:hanging="284"/>
        <w:rPr>
          <w:rFonts w:ascii="Times New Roman" w:eastAsia="Times New Roman" w:hAnsi="Times New Roman"/>
          <w:szCs w:val="20"/>
          <w:lang w:val="en-GB" w:eastAsia="ja-JP"/>
        </w:rPr>
      </w:pPr>
      <w:r w:rsidRPr="007D55B2">
        <w:rPr>
          <w:rFonts w:ascii="Times New Roman" w:eastAsia="Times New Roman" w:hAnsi="Times New Roman"/>
          <w:szCs w:val="20"/>
          <w:lang w:val="en-GB" w:eastAsia="ja-JP"/>
        </w:rPr>
        <w:t>4&gt;</w:t>
      </w:r>
      <w:r w:rsidRPr="007D55B2">
        <w:rPr>
          <w:rFonts w:ascii="Times New Roman" w:eastAsia="Times New Roman" w:hAnsi="Times New Roman"/>
          <w:szCs w:val="20"/>
          <w:lang w:val="en-GB" w:eastAsia="ja-JP"/>
        </w:rPr>
        <w:tab/>
        <w:t xml:space="preserve">remove the entry with the matching </w:t>
      </w:r>
      <w:r w:rsidRPr="007D55B2">
        <w:rPr>
          <w:rFonts w:ascii="Times New Roman" w:eastAsia="Times New Roman" w:hAnsi="Times New Roman"/>
          <w:i/>
          <w:szCs w:val="20"/>
          <w:lang w:val="en-GB" w:eastAsia="ja-JP"/>
        </w:rPr>
        <w:t>measId</w:t>
      </w:r>
      <w:r w:rsidRPr="007D55B2">
        <w:rPr>
          <w:rFonts w:ascii="Times New Roman" w:eastAsia="Times New Roman" w:hAnsi="Times New Roman"/>
          <w:szCs w:val="20"/>
          <w:lang w:val="en-GB" w:eastAsia="ja-JP"/>
        </w:rPr>
        <w:t xml:space="preserve"> from the </w:t>
      </w:r>
      <w:r w:rsidRPr="007D55B2">
        <w:rPr>
          <w:rFonts w:ascii="Times New Roman" w:eastAsia="Times New Roman" w:hAnsi="Times New Roman"/>
          <w:i/>
          <w:szCs w:val="20"/>
          <w:lang w:val="en-GB" w:eastAsia="ja-JP"/>
        </w:rPr>
        <w:t>measIdList</w:t>
      </w:r>
      <w:r w:rsidRPr="007D55B2">
        <w:rPr>
          <w:rFonts w:ascii="Times New Roman" w:eastAsia="Times New Roman" w:hAnsi="Times New Roman"/>
          <w:szCs w:val="20"/>
          <w:lang w:val="en-GB" w:eastAsia="ja-JP"/>
        </w:rPr>
        <w:t xml:space="preserve"> within the </w:t>
      </w:r>
      <w:r w:rsidRPr="007D55B2">
        <w:rPr>
          <w:rFonts w:ascii="Times New Roman" w:eastAsia="Times New Roman" w:hAnsi="Times New Roman"/>
          <w:i/>
          <w:szCs w:val="20"/>
          <w:lang w:val="en-GB" w:eastAsia="ja-JP"/>
        </w:rPr>
        <w:t>VarMeasConfig</w:t>
      </w:r>
      <w:r w:rsidRPr="007D55B2">
        <w:rPr>
          <w:rFonts w:ascii="Times New Roman" w:eastAsia="Times New Roman" w:hAnsi="Times New Roman"/>
          <w:szCs w:val="20"/>
          <w:lang w:val="en-GB" w:eastAsia="ja-JP"/>
        </w:rPr>
        <w:t>;</w:t>
      </w:r>
    </w:p>
    <w:p w14:paraId="4F8AEB5D" w14:textId="77777777" w:rsidR="007D55B2" w:rsidRDefault="007D55B2" w:rsidP="00D033C2">
      <w:pPr>
        <w:rPr>
          <w:lang w:val="en-GB" w:eastAsia="zh-CN"/>
        </w:rPr>
      </w:pPr>
    </w:p>
    <w:p w14:paraId="3B6563FC" w14:textId="697FAB2C" w:rsidR="005069B6" w:rsidRDefault="008E750A" w:rsidP="00D033C2">
      <w:pPr>
        <w:rPr>
          <w:lang w:val="en-GB" w:eastAsia="zh-CN"/>
        </w:rPr>
      </w:pPr>
      <w:r>
        <w:rPr>
          <w:lang w:val="en-GB" w:eastAsia="zh-CN"/>
        </w:rPr>
        <w:t xml:space="preserve">That means that </w:t>
      </w:r>
      <w:r w:rsidR="00C307A9">
        <w:rPr>
          <w:lang w:val="en-GB" w:eastAsia="zh-CN"/>
        </w:rPr>
        <w:t xml:space="preserve">upon execution of CHO, all CHO and CPC configurations are deleted and upon CPC configurations all CHO and CPC configurations are deleted. Simultaneous configuration doesn’t seem to cause any major issues. The only unclarity would be the UE </w:t>
      </w:r>
      <w:r w:rsidR="00865B27">
        <w:rPr>
          <w:lang w:val="en-GB" w:eastAsia="zh-CN"/>
        </w:rPr>
        <w:t>action</w:t>
      </w:r>
      <w:r w:rsidR="00C307A9">
        <w:rPr>
          <w:lang w:val="en-GB" w:eastAsia="zh-CN"/>
        </w:rPr>
        <w:t>s</w:t>
      </w:r>
      <w:r w:rsidR="00865B27">
        <w:rPr>
          <w:lang w:val="en-GB" w:eastAsia="zh-CN"/>
        </w:rPr>
        <w:t xml:space="preserve"> i</w:t>
      </w:r>
      <w:r w:rsidR="00C307A9">
        <w:rPr>
          <w:lang w:val="en-GB" w:eastAsia="zh-CN"/>
        </w:rPr>
        <w:t xml:space="preserve">n case the conditions for CHO and CPC are </w:t>
      </w:r>
      <w:r w:rsidR="00865B27">
        <w:rPr>
          <w:lang w:val="en-GB" w:eastAsia="zh-CN"/>
        </w:rPr>
        <w:t xml:space="preserve">fulfilled at the same time. </w:t>
      </w:r>
    </w:p>
    <w:p w14:paraId="59CC2FC3" w14:textId="27E5AA48" w:rsidR="00AF6A02" w:rsidRDefault="00865B27" w:rsidP="00D033C2">
      <w:pPr>
        <w:rPr>
          <w:lang w:val="en-GB" w:eastAsia="zh-CN"/>
        </w:rPr>
      </w:pPr>
      <w:r>
        <w:rPr>
          <w:lang w:val="en-GB" w:eastAsia="zh-CN"/>
        </w:rPr>
        <w:t xml:space="preserve">A similar case was discussed for CHO, how the UE should behave in case multiple target cells fulfil the conditions at the same time. Many companies preferred that it should be up to UE implementation to choose target cells in case multiple cells fulfil the conditions. However, as UE behaviour is defined for </w:t>
      </w:r>
      <w:r w:rsidR="00B633ED">
        <w:rPr>
          <w:lang w:val="en-GB" w:eastAsia="zh-CN"/>
        </w:rPr>
        <w:t>which</w:t>
      </w:r>
      <w:r w:rsidR="0091670D">
        <w:rPr>
          <w:lang w:val="en-GB" w:eastAsia="zh-CN"/>
        </w:rPr>
        <w:t xml:space="preserve"> cells to include in cell lists in</w:t>
      </w:r>
      <w:r>
        <w:rPr>
          <w:lang w:val="en-GB" w:eastAsia="zh-CN"/>
        </w:rPr>
        <w:t xml:space="preserve"> Measurement Report</w:t>
      </w:r>
      <w:r w:rsidR="00B633ED">
        <w:rPr>
          <w:lang w:val="en-GB" w:eastAsia="zh-CN"/>
        </w:rPr>
        <w:t xml:space="preserve"> when event conditions are fulfilled</w:t>
      </w:r>
      <w:r w:rsidR="00AF6A02">
        <w:rPr>
          <w:lang w:val="en-GB" w:eastAsia="zh-CN"/>
        </w:rPr>
        <w:t>, RAN2 finally agreed to add the following</w:t>
      </w:r>
      <w:r>
        <w:rPr>
          <w:lang w:val="en-GB" w:eastAsia="zh-CN"/>
        </w:rPr>
        <w:t xml:space="preserve"> note in 38.331</w:t>
      </w:r>
      <w:r w:rsidR="00AF6A02">
        <w:rPr>
          <w:lang w:val="en-GB" w:eastAsia="zh-CN"/>
        </w:rPr>
        <w:t>:</w:t>
      </w:r>
    </w:p>
    <w:p w14:paraId="3E1BC9ED" w14:textId="77777777" w:rsidR="00AF6A02" w:rsidRDefault="00AF6A02" w:rsidP="00AF6A02">
      <w:pPr>
        <w:pStyle w:val="B1"/>
        <w:ind w:left="0" w:firstLine="0"/>
      </w:pPr>
      <w:r w:rsidRPr="00B60231">
        <w:t>NOT</w:t>
      </w:r>
      <w:r>
        <w:t>E</w:t>
      </w:r>
      <w:r w:rsidRPr="00B60231">
        <w:t>:</w:t>
      </w:r>
      <w:r w:rsidRPr="00B60231">
        <w:tab/>
      </w:r>
      <w:r>
        <w:t xml:space="preserve">If </w:t>
      </w:r>
      <w:r w:rsidRPr="00206A59">
        <w:t xml:space="preserve">multiple </w:t>
      </w:r>
      <w:r>
        <w:t xml:space="preserve">NR cells are </w:t>
      </w:r>
      <w:r w:rsidRPr="00206A59">
        <w:t xml:space="preserve">triggered </w:t>
      </w:r>
      <w:r>
        <w:t xml:space="preserve">in conditional </w:t>
      </w:r>
      <w:r>
        <w:rPr>
          <w:lang w:val="en-US"/>
        </w:rPr>
        <w:t>configuration</w:t>
      </w:r>
      <w:r>
        <w:t xml:space="preserve"> execution, it is up to UE implementation which one to select, e.g. </w:t>
      </w:r>
      <w:r w:rsidRPr="00206A59">
        <w:t xml:space="preserve">the </w:t>
      </w:r>
      <w:r>
        <w:t xml:space="preserve">UE </w:t>
      </w:r>
      <w:r w:rsidRPr="00206A59">
        <w:t>consider</w:t>
      </w:r>
      <w:r>
        <w:t>s</w:t>
      </w:r>
      <w:r w:rsidRPr="00206A59">
        <w:t xml:space="preserve"> beams and beam quality </w:t>
      </w:r>
      <w:r>
        <w:t>to select one of the triggered cells for execution.</w:t>
      </w:r>
    </w:p>
    <w:p w14:paraId="61D6988A" w14:textId="4DBCA9D5" w:rsidR="00865B27" w:rsidRDefault="00865B27" w:rsidP="00D033C2">
      <w:pPr>
        <w:rPr>
          <w:lang w:val="en-GB" w:eastAsia="zh-CN"/>
        </w:rPr>
      </w:pPr>
      <w:r>
        <w:rPr>
          <w:lang w:val="en-GB" w:eastAsia="zh-CN"/>
        </w:rPr>
        <w:t xml:space="preserve"> </w:t>
      </w:r>
    </w:p>
    <w:p w14:paraId="2E4BBCBA" w14:textId="097C0E12" w:rsidR="00D033C2" w:rsidRDefault="00645334" w:rsidP="00D033C2">
      <w:pPr>
        <w:rPr>
          <w:lang w:val="en-GB" w:eastAsia="zh-CN"/>
        </w:rPr>
      </w:pPr>
      <w:r>
        <w:rPr>
          <w:lang w:val="en-GB" w:eastAsia="zh-CN"/>
        </w:rPr>
        <w:t>A similar note in 38.331 could be added in case the conditions for CHO and CPC are fulfilled at the same time</w:t>
      </w:r>
      <w:r w:rsidR="00765BB6">
        <w:rPr>
          <w:lang w:val="en-GB" w:eastAsia="zh-CN"/>
        </w:rPr>
        <w:t>.</w:t>
      </w:r>
      <w:r w:rsidR="00263E80">
        <w:rPr>
          <w:lang w:val="en-GB" w:eastAsia="zh-CN"/>
        </w:rPr>
        <w:t xml:space="preserve"> The n</w:t>
      </w:r>
      <w:r>
        <w:rPr>
          <w:lang w:val="en-GB" w:eastAsia="zh-CN"/>
        </w:rPr>
        <w:t>ote could e.g. say that the UE prioritizes C</w:t>
      </w:r>
      <w:r w:rsidR="00263E80">
        <w:rPr>
          <w:lang w:val="en-GB" w:eastAsia="zh-CN"/>
        </w:rPr>
        <w:t>HO in such case. Adding a n</w:t>
      </w:r>
      <w:r>
        <w:rPr>
          <w:lang w:val="en-GB" w:eastAsia="zh-CN"/>
        </w:rPr>
        <w:t xml:space="preserve">ote in 38.331 seems </w:t>
      </w:r>
      <w:r w:rsidR="004B24E3">
        <w:rPr>
          <w:lang w:val="en-GB" w:eastAsia="zh-CN"/>
        </w:rPr>
        <w:t>like a much easier solution than</w:t>
      </w:r>
      <w:r>
        <w:rPr>
          <w:lang w:val="en-GB" w:eastAsia="zh-CN"/>
        </w:rPr>
        <w:t xml:space="preserve"> to add network signa</w:t>
      </w:r>
      <w:r w:rsidR="004B24E3">
        <w:rPr>
          <w:lang w:val="en-GB" w:eastAsia="zh-CN"/>
        </w:rPr>
        <w:t xml:space="preserve">lling </w:t>
      </w:r>
      <w:r w:rsidR="00B633ED">
        <w:rPr>
          <w:lang w:val="en-GB" w:eastAsia="zh-CN"/>
        </w:rPr>
        <w:t xml:space="preserve">or OAM updates </w:t>
      </w:r>
      <w:r w:rsidR="004B24E3">
        <w:rPr>
          <w:lang w:val="en-GB" w:eastAsia="zh-CN"/>
        </w:rPr>
        <w:t xml:space="preserve">to guarantee the </w:t>
      </w:r>
      <w:r>
        <w:rPr>
          <w:lang w:val="en-GB" w:eastAsia="zh-CN"/>
        </w:rPr>
        <w:t xml:space="preserve">RAN2 agreement. </w:t>
      </w:r>
      <w:r w:rsidR="00F86B31">
        <w:rPr>
          <w:lang w:val="en-GB" w:eastAsia="zh-CN"/>
        </w:rPr>
        <w:t xml:space="preserve">It also seems like a strange approach to add “negative” signalling, i.e. signalling to avoid certain configurations, in particular when there doesn’t seem to be any valid reason to avoid the configuration. </w:t>
      </w:r>
      <w:r w:rsidR="004B24E3">
        <w:rPr>
          <w:lang w:val="en-GB" w:eastAsia="zh-CN"/>
        </w:rPr>
        <w:t>RAN2 is therefore asked to reconsider the previous agreement and allow simultaneous CHO + CPC configuration. RAN3 also needs to be informed in such case.</w:t>
      </w:r>
    </w:p>
    <w:p w14:paraId="2A9400D7" w14:textId="306BEF26" w:rsidR="00D033C2" w:rsidRDefault="00263E80" w:rsidP="00D033C2">
      <w:pPr>
        <w:rPr>
          <w:b/>
          <w:lang w:val="en-GB" w:eastAsia="zh-CN"/>
        </w:rPr>
      </w:pPr>
      <w:r>
        <w:rPr>
          <w:b/>
          <w:lang w:val="en-GB" w:eastAsia="zh-CN"/>
        </w:rPr>
        <w:t>Proposal 1</w:t>
      </w:r>
      <w:r w:rsidR="00D033C2" w:rsidRPr="005F79E5">
        <w:rPr>
          <w:b/>
          <w:lang w:val="en-GB" w:eastAsia="zh-CN"/>
        </w:rPr>
        <w:t xml:space="preserve">: </w:t>
      </w:r>
      <w:r w:rsidR="00D033C2">
        <w:rPr>
          <w:b/>
          <w:lang w:val="en-GB" w:eastAsia="zh-CN"/>
        </w:rPr>
        <w:t>Allow simultaneous CHO + CPC configuration</w:t>
      </w:r>
      <w:r w:rsidR="00D033C2" w:rsidRPr="005F79E5">
        <w:rPr>
          <w:b/>
          <w:lang w:val="en-GB" w:eastAsia="zh-CN"/>
        </w:rPr>
        <w:t xml:space="preserve">. </w:t>
      </w:r>
    </w:p>
    <w:p w14:paraId="12EDB00D" w14:textId="7A2DE860" w:rsidR="004B24E3" w:rsidRDefault="004B24E3" w:rsidP="00D033C2">
      <w:pPr>
        <w:rPr>
          <w:b/>
          <w:lang w:val="en-GB" w:eastAsia="zh-CN"/>
        </w:rPr>
      </w:pPr>
      <w:r>
        <w:rPr>
          <w:b/>
          <w:lang w:val="en-GB" w:eastAsia="zh-CN"/>
        </w:rPr>
        <w:t>Propo</w:t>
      </w:r>
      <w:r w:rsidR="00263E80">
        <w:rPr>
          <w:b/>
          <w:lang w:val="en-GB" w:eastAsia="zh-CN"/>
        </w:rPr>
        <w:t>sal 2</w:t>
      </w:r>
      <w:r w:rsidR="00033C0E">
        <w:rPr>
          <w:b/>
          <w:lang w:val="en-GB" w:eastAsia="zh-CN"/>
        </w:rPr>
        <w:t>: Send an LS to RAN3 with this agreement.</w:t>
      </w:r>
    </w:p>
    <w:p w14:paraId="490CBD07" w14:textId="77777777" w:rsidR="00D033C2" w:rsidRPr="005F79E5" w:rsidRDefault="00D033C2" w:rsidP="00D00966">
      <w:pPr>
        <w:rPr>
          <w:b/>
          <w:lang w:val="en-GB" w:eastAsia="zh-CN"/>
        </w:rPr>
      </w:pPr>
    </w:p>
    <w:p w14:paraId="372318D3" w14:textId="77777777" w:rsidR="009D725A" w:rsidRDefault="009D725A" w:rsidP="00C30004">
      <w:pPr>
        <w:pStyle w:val="Heading1"/>
      </w:pPr>
      <w:bookmarkStart w:id="3" w:name="_Toc242573360"/>
      <w:r w:rsidRPr="00C30004">
        <w:t>Summary</w:t>
      </w:r>
      <w:bookmarkEnd w:id="3"/>
    </w:p>
    <w:p w14:paraId="41460723" w14:textId="07820B45" w:rsidR="00E46CBA" w:rsidRDefault="00870B42" w:rsidP="00E46CBA">
      <w:pPr>
        <w:pStyle w:val="BodyText"/>
        <w:rPr>
          <w:lang w:val="en-GB"/>
        </w:rPr>
      </w:pPr>
      <w:bookmarkStart w:id="4" w:name="_Hlk528334907"/>
      <w:bookmarkStart w:id="5" w:name="_Toc242573361"/>
      <w:r>
        <w:rPr>
          <w:lang w:val="en-GB"/>
        </w:rPr>
        <w:t>Based on the discussions above, the following is proposed:</w:t>
      </w:r>
    </w:p>
    <w:bookmarkEnd w:id="4"/>
    <w:p w14:paraId="31C4EBF6" w14:textId="31DAEBE2" w:rsidR="00FC74B7" w:rsidRDefault="00263E80" w:rsidP="007651AC">
      <w:pPr>
        <w:rPr>
          <w:b/>
          <w:lang w:val="en-GB" w:eastAsia="zh-CN"/>
        </w:rPr>
      </w:pPr>
      <w:r>
        <w:rPr>
          <w:b/>
          <w:lang w:val="en-GB" w:eastAsia="zh-CN"/>
        </w:rPr>
        <w:t>Proposal 1</w:t>
      </w:r>
      <w:r w:rsidR="00FC74B7" w:rsidRPr="005F79E5">
        <w:rPr>
          <w:b/>
          <w:lang w:val="en-GB" w:eastAsia="zh-CN"/>
        </w:rPr>
        <w:t xml:space="preserve">: </w:t>
      </w:r>
      <w:r w:rsidR="00FC74B7">
        <w:rPr>
          <w:b/>
          <w:lang w:val="en-GB" w:eastAsia="zh-CN"/>
        </w:rPr>
        <w:t>Allow simultaneous CHO + CPC configuration.</w:t>
      </w:r>
    </w:p>
    <w:p w14:paraId="1F56EE59" w14:textId="24D505BC" w:rsidR="00F86B31" w:rsidRPr="00AA7910" w:rsidRDefault="00F86B31" w:rsidP="007651AC">
      <w:pPr>
        <w:rPr>
          <w:b/>
          <w:lang w:val="en-GB" w:eastAsia="zh-CN"/>
        </w:rPr>
      </w:pPr>
      <w:r>
        <w:rPr>
          <w:b/>
          <w:lang w:val="en-GB" w:eastAsia="zh-CN"/>
        </w:rPr>
        <w:t>Propo</w:t>
      </w:r>
      <w:r w:rsidR="00263E80">
        <w:rPr>
          <w:b/>
          <w:lang w:val="en-GB" w:eastAsia="zh-CN"/>
        </w:rPr>
        <w:t>sal 2</w:t>
      </w:r>
      <w:r>
        <w:rPr>
          <w:b/>
          <w:lang w:val="en-GB" w:eastAsia="zh-CN"/>
        </w:rPr>
        <w:t>: Send an LS to RAN3</w:t>
      </w:r>
      <w:r w:rsidR="00033C0E">
        <w:rPr>
          <w:b/>
          <w:lang w:val="en-GB" w:eastAsia="zh-CN"/>
        </w:rPr>
        <w:t xml:space="preserve"> with this agreement</w:t>
      </w:r>
      <w:r>
        <w:rPr>
          <w:b/>
          <w:lang w:val="en-GB" w:eastAsia="zh-CN"/>
        </w:rPr>
        <w:t>.</w:t>
      </w:r>
    </w:p>
    <w:p w14:paraId="36D2311E" w14:textId="77777777" w:rsidR="009D725A" w:rsidRDefault="009D725A" w:rsidP="009D725A">
      <w:pPr>
        <w:pStyle w:val="Heading1"/>
        <w:rPr>
          <w:noProof/>
        </w:rPr>
      </w:pPr>
      <w:r>
        <w:rPr>
          <w:noProof/>
        </w:rPr>
        <w:t>References</w:t>
      </w:r>
      <w:bookmarkEnd w:id="5"/>
    </w:p>
    <w:p w14:paraId="38007529" w14:textId="219B2BF2" w:rsidR="00782E70" w:rsidRDefault="00F04166" w:rsidP="00AC453B">
      <w:pPr>
        <w:numPr>
          <w:ilvl w:val="0"/>
          <w:numId w:val="1"/>
        </w:numPr>
        <w:overflowPunct w:val="0"/>
        <w:autoSpaceDE w:val="0"/>
        <w:autoSpaceDN w:val="0"/>
        <w:adjustRightInd w:val="0"/>
        <w:spacing w:after="180" w:line="240" w:lineRule="auto"/>
        <w:textAlignment w:val="baseline"/>
        <w:rPr>
          <w:rFonts w:cs="Arial"/>
          <w:lang w:val="de-DE"/>
        </w:rPr>
      </w:pPr>
      <w:bookmarkStart w:id="6" w:name="_Ref476654561"/>
      <w:bookmarkStart w:id="7"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6"/>
      <w:r w:rsidR="0086488F" w:rsidRPr="004E6DBF">
        <w:rPr>
          <w:rFonts w:cs="Arial"/>
          <w:lang w:val="de-DE"/>
        </w:rPr>
        <w:t>8</w:t>
      </w:r>
      <w:bookmarkEnd w:id="7"/>
      <w:r w:rsidR="00782E70">
        <w:rPr>
          <w:rFonts w:cs="Arial"/>
          <w:lang w:val="de-DE"/>
        </w:rPr>
        <w:t>.</w:t>
      </w:r>
    </w:p>
    <w:p w14:paraId="7C857D78" w14:textId="7F245FBB" w:rsidR="002F73E7" w:rsidRDefault="006B0E06" w:rsidP="008A231F">
      <w:pPr>
        <w:numPr>
          <w:ilvl w:val="0"/>
          <w:numId w:val="1"/>
        </w:numPr>
        <w:overflowPunct w:val="0"/>
        <w:autoSpaceDE w:val="0"/>
        <w:autoSpaceDN w:val="0"/>
        <w:adjustRightInd w:val="0"/>
        <w:spacing w:after="180" w:line="240" w:lineRule="auto"/>
        <w:textAlignment w:val="baseline"/>
      </w:pPr>
      <w:hyperlink r:id="rId11" w:tooltip="C:Data3GPPExtractsR2-1911344_Support of Conditional PSCell addition_change.doc" w:history="1">
        <w:r w:rsidR="002F73E7" w:rsidRPr="00A43017">
          <w:rPr>
            <w:rStyle w:val="Hyperlink"/>
          </w:rPr>
          <w:t>R2-1911344</w:t>
        </w:r>
      </w:hyperlink>
      <w:r w:rsidR="002F73E7">
        <w:t>, Support of Conditional PSCell addition/change</w:t>
      </w:r>
      <w:r w:rsidR="002F73E7">
        <w:tab/>
        <w:t>NTT DOCOMO INC., Nokia, Ericsson, Fujitsu, KT Corp, Media Tek Inc., NEC, Qualcomm Inc., SoftBank Corp</w:t>
      </w:r>
      <w:r w:rsidR="008A231F">
        <w:t>, 3GPP TSG-RAN WG2 Meeting #107, Prague, Czech, August 26-30, 2019.</w:t>
      </w:r>
    </w:p>
    <w:p w14:paraId="31797DBF" w14:textId="4C24FC1C" w:rsidR="009F1E53" w:rsidRDefault="009F1E53" w:rsidP="009F1E53">
      <w:pPr>
        <w:numPr>
          <w:ilvl w:val="0"/>
          <w:numId w:val="1"/>
        </w:numPr>
        <w:overflowPunct w:val="0"/>
        <w:autoSpaceDE w:val="0"/>
        <w:autoSpaceDN w:val="0"/>
        <w:adjustRightInd w:val="0"/>
        <w:spacing w:after="180" w:line="240" w:lineRule="auto"/>
        <w:textAlignment w:val="baseline"/>
      </w:pPr>
      <w:bookmarkStart w:id="8" w:name="_Ref37169157"/>
      <w:r w:rsidRPr="009F1E53">
        <w:rPr>
          <w:rFonts w:cs="Arial"/>
        </w:rPr>
        <w:t>R2-2001764</w:t>
      </w:r>
      <w:r>
        <w:rPr>
          <w:rFonts w:cs="Arial"/>
        </w:rPr>
        <w:t>, L</w:t>
      </w:r>
      <w:r>
        <w:rPr>
          <w:rFonts w:cs="Arial"/>
          <w:bCs/>
        </w:rPr>
        <w:t>S on avoiding simultaneous CHO and CPC</w:t>
      </w:r>
      <w:bookmarkEnd w:id="8"/>
    </w:p>
    <w:sectPr w:rsidR="009F1E53"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8810E" w14:textId="77777777" w:rsidR="006B0E06" w:rsidRDefault="006B0E06">
      <w:r>
        <w:separator/>
      </w:r>
    </w:p>
  </w:endnote>
  <w:endnote w:type="continuationSeparator" w:id="0">
    <w:p w14:paraId="123649D3" w14:textId="77777777" w:rsidR="006B0E06" w:rsidRDefault="006B0E06">
      <w:r>
        <w:continuationSeparator/>
      </w:r>
    </w:p>
  </w:endnote>
  <w:endnote w:type="continuationNotice" w:id="1">
    <w:p w14:paraId="66297B2B" w14:textId="77777777" w:rsidR="006B0E06" w:rsidRDefault="006B0E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1B2E77" w:rsidRDefault="001B2E7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AAB62" w14:textId="77777777" w:rsidR="006B0E06" w:rsidRDefault="006B0E06">
      <w:r>
        <w:separator/>
      </w:r>
    </w:p>
  </w:footnote>
  <w:footnote w:type="continuationSeparator" w:id="0">
    <w:p w14:paraId="4B4B4A38" w14:textId="77777777" w:rsidR="006B0E06" w:rsidRDefault="006B0E06">
      <w:r>
        <w:continuationSeparator/>
      </w:r>
    </w:p>
  </w:footnote>
  <w:footnote w:type="continuationNotice" w:id="1">
    <w:p w14:paraId="01AA892A" w14:textId="77777777" w:rsidR="006B0E06" w:rsidRDefault="006B0E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04F6"/>
    <w:multiLevelType w:val="hybridMultilevel"/>
    <w:tmpl w:val="DC86AB9A"/>
    <w:lvl w:ilvl="0" w:tplc="0BDEA9B4">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15:restartNumberingAfterBreak="0">
    <w:nsid w:val="786176CC"/>
    <w:multiLevelType w:val="hybridMultilevel"/>
    <w:tmpl w:val="98127F3A"/>
    <w:lvl w:ilvl="0" w:tplc="467A42B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4"/>
  </w:num>
  <w:num w:numId="5">
    <w:abstractNumId w:val="5"/>
  </w:num>
  <w:num w:numId="6">
    <w:abstractNumId w:val="4"/>
    <w:lvlOverride w:ilvl="0">
      <w:startOverride w:val="1"/>
    </w:lvlOverride>
  </w:num>
  <w:num w:numId="7">
    <w:abstractNumId w:val="10"/>
  </w:num>
  <w:num w:numId="8">
    <w:abstractNumId w:val="1"/>
  </w:num>
  <w:num w:numId="9">
    <w:abstractNumId w:val="4"/>
    <w:lvlOverride w:ilvl="0">
      <w:startOverride w:val="1"/>
    </w:lvlOverride>
  </w:num>
  <w:num w:numId="10">
    <w:abstractNumId w:val="9"/>
  </w:num>
  <w:num w:numId="11">
    <w:abstractNumId w:val="2"/>
  </w:num>
  <w:num w:numId="12">
    <w:abstractNumId w:val="8"/>
  </w:num>
  <w:num w:numId="13">
    <w:abstractNumId w:val="11"/>
  </w:num>
  <w:num w:numId="14">
    <w:abstractNumId w:val="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2CBD"/>
    <w:rsid w:val="0000311A"/>
    <w:rsid w:val="0000321E"/>
    <w:rsid w:val="0000344F"/>
    <w:rsid w:val="00003465"/>
    <w:rsid w:val="000037CA"/>
    <w:rsid w:val="00003BB7"/>
    <w:rsid w:val="00003CAD"/>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4677"/>
    <w:rsid w:val="00024CFD"/>
    <w:rsid w:val="00025209"/>
    <w:rsid w:val="00025215"/>
    <w:rsid w:val="00026DD2"/>
    <w:rsid w:val="00027118"/>
    <w:rsid w:val="000278D3"/>
    <w:rsid w:val="00027BEA"/>
    <w:rsid w:val="00027C6E"/>
    <w:rsid w:val="0003025E"/>
    <w:rsid w:val="00031612"/>
    <w:rsid w:val="00033C0E"/>
    <w:rsid w:val="00033D71"/>
    <w:rsid w:val="000343D3"/>
    <w:rsid w:val="0003547B"/>
    <w:rsid w:val="000362CF"/>
    <w:rsid w:val="00036973"/>
    <w:rsid w:val="000370B4"/>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6914"/>
    <w:rsid w:val="00067191"/>
    <w:rsid w:val="000677EA"/>
    <w:rsid w:val="00067937"/>
    <w:rsid w:val="000702C3"/>
    <w:rsid w:val="00070C3F"/>
    <w:rsid w:val="000738CB"/>
    <w:rsid w:val="000760CC"/>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6DD3"/>
    <w:rsid w:val="00087173"/>
    <w:rsid w:val="0009198B"/>
    <w:rsid w:val="00091AE6"/>
    <w:rsid w:val="00092079"/>
    <w:rsid w:val="00092934"/>
    <w:rsid w:val="00092C02"/>
    <w:rsid w:val="00093382"/>
    <w:rsid w:val="00093EF4"/>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57A5"/>
    <w:rsid w:val="000B73E2"/>
    <w:rsid w:val="000B7678"/>
    <w:rsid w:val="000C001E"/>
    <w:rsid w:val="000C0661"/>
    <w:rsid w:val="000C07B7"/>
    <w:rsid w:val="000C09D4"/>
    <w:rsid w:val="000C0AFF"/>
    <w:rsid w:val="000C0CD6"/>
    <w:rsid w:val="000C0D9F"/>
    <w:rsid w:val="000C1547"/>
    <w:rsid w:val="000C18BB"/>
    <w:rsid w:val="000C24F4"/>
    <w:rsid w:val="000C3430"/>
    <w:rsid w:val="000C3BB4"/>
    <w:rsid w:val="000C4330"/>
    <w:rsid w:val="000C471C"/>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E7C63"/>
    <w:rsid w:val="000F01B4"/>
    <w:rsid w:val="000F0838"/>
    <w:rsid w:val="000F137D"/>
    <w:rsid w:val="000F2D1B"/>
    <w:rsid w:val="000F6096"/>
    <w:rsid w:val="000F6C44"/>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06DE5"/>
    <w:rsid w:val="001079BE"/>
    <w:rsid w:val="00107D2F"/>
    <w:rsid w:val="00111073"/>
    <w:rsid w:val="0011185E"/>
    <w:rsid w:val="001119D7"/>
    <w:rsid w:val="00111A50"/>
    <w:rsid w:val="00111AA3"/>
    <w:rsid w:val="00111D20"/>
    <w:rsid w:val="00111DF2"/>
    <w:rsid w:val="00112002"/>
    <w:rsid w:val="00112084"/>
    <w:rsid w:val="0011254F"/>
    <w:rsid w:val="00112A7F"/>
    <w:rsid w:val="00113632"/>
    <w:rsid w:val="001137F0"/>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721"/>
    <w:rsid w:val="00122A09"/>
    <w:rsid w:val="00122AD2"/>
    <w:rsid w:val="00123C70"/>
    <w:rsid w:val="00124FED"/>
    <w:rsid w:val="001265A5"/>
    <w:rsid w:val="00126D8E"/>
    <w:rsid w:val="00127D2C"/>
    <w:rsid w:val="00127F9E"/>
    <w:rsid w:val="001308CD"/>
    <w:rsid w:val="00130C1D"/>
    <w:rsid w:val="00131698"/>
    <w:rsid w:val="00131FBE"/>
    <w:rsid w:val="00133147"/>
    <w:rsid w:val="0013407B"/>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953"/>
    <w:rsid w:val="00142E5E"/>
    <w:rsid w:val="0014503C"/>
    <w:rsid w:val="001460AC"/>
    <w:rsid w:val="00147469"/>
    <w:rsid w:val="001478D4"/>
    <w:rsid w:val="00147E07"/>
    <w:rsid w:val="00150D9F"/>
    <w:rsid w:val="00150EAC"/>
    <w:rsid w:val="0015199E"/>
    <w:rsid w:val="00152162"/>
    <w:rsid w:val="001552B5"/>
    <w:rsid w:val="00155461"/>
    <w:rsid w:val="001558FF"/>
    <w:rsid w:val="00155AB9"/>
    <w:rsid w:val="0015614F"/>
    <w:rsid w:val="00160274"/>
    <w:rsid w:val="00160860"/>
    <w:rsid w:val="001609FF"/>
    <w:rsid w:val="00160B7F"/>
    <w:rsid w:val="001612C4"/>
    <w:rsid w:val="0016327A"/>
    <w:rsid w:val="00163D65"/>
    <w:rsid w:val="001641A5"/>
    <w:rsid w:val="0016426B"/>
    <w:rsid w:val="001645A9"/>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D5A"/>
    <w:rsid w:val="00192EBA"/>
    <w:rsid w:val="0019449D"/>
    <w:rsid w:val="00194E7F"/>
    <w:rsid w:val="00195BC6"/>
    <w:rsid w:val="001A0CB4"/>
    <w:rsid w:val="001A1061"/>
    <w:rsid w:val="001A12C2"/>
    <w:rsid w:val="001A1E03"/>
    <w:rsid w:val="001A241E"/>
    <w:rsid w:val="001A25E4"/>
    <w:rsid w:val="001A2E3D"/>
    <w:rsid w:val="001A3300"/>
    <w:rsid w:val="001A3F52"/>
    <w:rsid w:val="001A5A6D"/>
    <w:rsid w:val="001A7583"/>
    <w:rsid w:val="001A7A9E"/>
    <w:rsid w:val="001A7BB7"/>
    <w:rsid w:val="001A7C80"/>
    <w:rsid w:val="001B03A6"/>
    <w:rsid w:val="001B042D"/>
    <w:rsid w:val="001B143C"/>
    <w:rsid w:val="001B19F6"/>
    <w:rsid w:val="001B241A"/>
    <w:rsid w:val="001B2B35"/>
    <w:rsid w:val="001B2C38"/>
    <w:rsid w:val="001B2E77"/>
    <w:rsid w:val="001B2F7D"/>
    <w:rsid w:val="001B3939"/>
    <w:rsid w:val="001B467E"/>
    <w:rsid w:val="001B4A6E"/>
    <w:rsid w:val="001B74F3"/>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65F0"/>
    <w:rsid w:val="001F72F4"/>
    <w:rsid w:val="001F7552"/>
    <w:rsid w:val="001F7D9F"/>
    <w:rsid w:val="002002EF"/>
    <w:rsid w:val="002013B3"/>
    <w:rsid w:val="00202190"/>
    <w:rsid w:val="00202DDC"/>
    <w:rsid w:val="002065BE"/>
    <w:rsid w:val="002068E7"/>
    <w:rsid w:val="002114D0"/>
    <w:rsid w:val="00211629"/>
    <w:rsid w:val="002124F8"/>
    <w:rsid w:val="00212767"/>
    <w:rsid w:val="002129BC"/>
    <w:rsid w:val="0021478C"/>
    <w:rsid w:val="00214F7E"/>
    <w:rsid w:val="00215F0A"/>
    <w:rsid w:val="00216526"/>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2ADD"/>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3E80"/>
    <w:rsid w:val="0026475C"/>
    <w:rsid w:val="0026584E"/>
    <w:rsid w:val="00265ABD"/>
    <w:rsid w:val="00265D0D"/>
    <w:rsid w:val="00267394"/>
    <w:rsid w:val="002673CA"/>
    <w:rsid w:val="00267A3C"/>
    <w:rsid w:val="00271FB7"/>
    <w:rsid w:val="002720A4"/>
    <w:rsid w:val="00272FEA"/>
    <w:rsid w:val="00273074"/>
    <w:rsid w:val="002733D0"/>
    <w:rsid w:val="0027366E"/>
    <w:rsid w:val="00273C32"/>
    <w:rsid w:val="00274E81"/>
    <w:rsid w:val="00280943"/>
    <w:rsid w:val="00280CEE"/>
    <w:rsid w:val="00280D82"/>
    <w:rsid w:val="00281BCA"/>
    <w:rsid w:val="00282A47"/>
    <w:rsid w:val="00283532"/>
    <w:rsid w:val="00283E2E"/>
    <w:rsid w:val="0028412B"/>
    <w:rsid w:val="00285AB9"/>
    <w:rsid w:val="0028641A"/>
    <w:rsid w:val="0028711E"/>
    <w:rsid w:val="002874F4"/>
    <w:rsid w:val="00287F5C"/>
    <w:rsid w:val="00290477"/>
    <w:rsid w:val="00290546"/>
    <w:rsid w:val="002906CF"/>
    <w:rsid w:val="002912B7"/>
    <w:rsid w:val="0029193B"/>
    <w:rsid w:val="0029198C"/>
    <w:rsid w:val="00291D50"/>
    <w:rsid w:val="0029201C"/>
    <w:rsid w:val="0029222D"/>
    <w:rsid w:val="00292258"/>
    <w:rsid w:val="0029226F"/>
    <w:rsid w:val="00294F33"/>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A7882"/>
    <w:rsid w:val="002B0145"/>
    <w:rsid w:val="002B1B80"/>
    <w:rsid w:val="002B1CD8"/>
    <w:rsid w:val="002B1EE7"/>
    <w:rsid w:val="002B2BE1"/>
    <w:rsid w:val="002B2D71"/>
    <w:rsid w:val="002B36C6"/>
    <w:rsid w:val="002B370F"/>
    <w:rsid w:val="002B3911"/>
    <w:rsid w:val="002B3C27"/>
    <w:rsid w:val="002B3FF8"/>
    <w:rsid w:val="002B53E7"/>
    <w:rsid w:val="002B57D4"/>
    <w:rsid w:val="002B7789"/>
    <w:rsid w:val="002C0081"/>
    <w:rsid w:val="002C0B68"/>
    <w:rsid w:val="002C1EF6"/>
    <w:rsid w:val="002C276D"/>
    <w:rsid w:val="002C4082"/>
    <w:rsid w:val="002C45B4"/>
    <w:rsid w:val="002C6AEE"/>
    <w:rsid w:val="002C7AE7"/>
    <w:rsid w:val="002D0233"/>
    <w:rsid w:val="002D047E"/>
    <w:rsid w:val="002D0E48"/>
    <w:rsid w:val="002D2540"/>
    <w:rsid w:val="002D27E9"/>
    <w:rsid w:val="002D3566"/>
    <w:rsid w:val="002D4363"/>
    <w:rsid w:val="002D5432"/>
    <w:rsid w:val="002D548E"/>
    <w:rsid w:val="002D647E"/>
    <w:rsid w:val="002D685D"/>
    <w:rsid w:val="002D7017"/>
    <w:rsid w:val="002D718A"/>
    <w:rsid w:val="002E0414"/>
    <w:rsid w:val="002E1A67"/>
    <w:rsid w:val="002E1A79"/>
    <w:rsid w:val="002E1DEF"/>
    <w:rsid w:val="002E1E5B"/>
    <w:rsid w:val="002E23D7"/>
    <w:rsid w:val="002E23EB"/>
    <w:rsid w:val="002E25F5"/>
    <w:rsid w:val="002E3D8C"/>
    <w:rsid w:val="002E4760"/>
    <w:rsid w:val="002E56D5"/>
    <w:rsid w:val="002E5C30"/>
    <w:rsid w:val="002E7265"/>
    <w:rsid w:val="002F021F"/>
    <w:rsid w:val="002F0DF7"/>
    <w:rsid w:val="002F2287"/>
    <w:rsid w:val="002F2A0B"/>
    <w:rsid w:val="002F3144"/>
    <w:rsid w:val="002F3825"/>
    <w:rsid w:val="002F3BF2"/>
    <w:rsid w:val="002F3EAA"/>
    <w:rsid w:val="002F4367"/>
    <w:rsid w:val="002F453A"/>
    <w:rsid w:val="002F4578"/>
    <w:rsid w:val="002F52A8"/>
    <w:rsid w:val="002F5536"/>
    <w:rsid w:val="002F703D"/>
    <w:rsid w:val="002F73E7"/>
    <w:rsid w:val="00300393"/>
    <w:rsid w:val="003017BF"/>
    <w:rsid w:val="00301F91"/>
    <w:rsid w:val="00302277"/>
    <w:rsid w:val="00303198"/>
    <w:rsid w:val="00303A35"/>
    <w:rsid w:val="00304322"/>
    <w:rsid w:val="00305268"/>
    <w:rsid w:val="00306D5D"/>
    <w:rsid w:val="00310765"/>
    <w:rsid w:val="00312713"/>
    <w:rsid w:val="00312E54"/>
    <w:rsid w:val="0031392A"/>
    <w:rsid w:val="00313B15"/>
    <w:rsid w:val="003142F8"/>
    <w:rsid w:val="00314A99"/>
    <w:rsid w:val="0031563D"/>
    <w:rsid w:val="003172C0"/>
    <w:rsid w:val="003201B3"/>
    <w:rsid w:val="00321065"/>
    <w:rsid w:val="003214A0"/>
    <w:rsid w:val="003219B5"/>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3847"/>
    <w:rsid w:val="0033435E"/>
    <w:rsid w:val="00334C31"/>
    <w:rsid w:val="00335B0F"/>
    <w:rsid w:val="00336352"/>
    <w:rsid w:val="00336BC6"/>
    <w:rsid w:val="00336C95"/>
    <w:rsid w:val="003403AE"/>
    <w:rsid w:val="0034096D"/>
    <w:rsid w:val="00341476"/>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86B"/>
    <w:rsid w:val="00352BFE"/>
    <w:rsid w:val="00353233"/>
    <w:rsid w:val="0035547C"/>
    <w:rsid w:val="00355E2A"/>
    <w:rsid w:val="00356577"/>
    <w:rsid w:val="0035671B"/>
    <w:rsid w:val="003578A3"/>
    <w:rsid w:val="00360492"/>
    <w:rsid w:val="00361D6A"/>
    <w:rsid w:val="00361D6B"/>
    <w:rsid w:val="00361F91"/>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805"/>
    <w:rsid w:val="00374C48"/>
    <w:rsid w:val="0037552C"/>
    <w:rsid w:val="0037629E"/>
    <w:rsid w:val="00376B1F"/>
    <w:rsid w:val="00376DA1"/>
    <w:rsid w:val="00376F09"/>
    <w:rsid w:val="0037719E"/>
    <w:rsid w:val="003774DB"/>
    <w:rsid w:val="003810DE"/>
    <w:rsid w:val="00381B82"/>
    <w:rsid w:val="003833A8"/>
    <w:rsid w:val="00383B3E"/>
    <w:rsid w:val="00385713"/>
    <w:rsid w:val="003878C1"/>
    <w:rsid w:val="003914B0"/>
    <w:rsid w:val="003918BC"/>
    <w:rsid w:val="00391AEA"/>
    <w:rsid w:val="00392346"/>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40B4"/>
    <w:rsid w:val="003B5056"/>
    <w:rsid w:val="003B6258"/>
    <w:rsid w:val="003B7621"/>
    <w:rsid w:val="003B7B3A"/>
    <w:rsid w:val="003C0608"/>
    <w:rsid w:val="003C0D13"/>
    <w:rsid w:val="003C140C"/>
    <w:rsid w:val="003C140D"/>
    <w:rsid w:val="003C1556"/>
    <w:rsid w:val="003C1C5D"/>
    <w:rsid w:val="003C2859"/>
    <w:rsid w:val="003C3BC6"/>
    <w:rsid w:val="003C4A01"/>
    <w:rsid w:val="003C544B"/>
    <w:rsid w:val="003C55D5"/>
    <w:rsid w:val="003C55F5"/>
    <w:rsid w:val="003D09AA"/>
    <w:rsid w:val="003D1BC2"/>
    <w:rsid w:val="003D23B8"/>
    <w:rsid w:val="003D2CE7"/>
    <w:rsid w:val="003D3D36"/>
    <w:rsid w:val="003D3F4A"/>
    <w:rsid w:val="003D49F3"/>
    <w:rsid w:val="003D5480"/>
    <w:rsid w:val="003D5603"/>
    <w:rsid w:val="003D59D7"/>
    <w:rsid w:val="003D614E"/>
    <w:rsid w:val="003D6D2D"/>
    <w:rsid w:val="003D7733"/>
    <w:rsid w:val="003E0167"/>
    <w:rsid w:val="003E1722"/>
    <w:rsid w:val="003E2B3B"/>
    <w:rsid w:val="003E548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62E"/>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6EB"/>
    <w:rsid w:val="00441BCB"/>
    <w:rsid w:val="00443C0E"/>
    <w:rsid w:val="00443C35"/>
    <w:rsid w:val="00444434"/>
    <w:rsid w:val="00445733"/>
    <w:rsid w:val="00445F25"/>
    <w:rsid w:val="00445FD8"/>
    <w:rsid w:val="00446921"/>
    <w:rsid w:val="00446BDF"/>
    <w:rsid w:val="00447C05"/>
    <w:rsid w:val="00450FA7"/>
    <w:rsid w:val="00451134"/>
    <w:rsid w:val="0045121F"/>
    <w:rsid w:val="00451489"/>
    <w:rsid w:val="00451A3A"/>
    <w:rsid w:val="00451C1F"/>
    <w:rsid w:val="00452AFC"/>
    <w:rsid w:val="00454461"/>
    <w:rsid w:val="00455C91"/>
    <w:rsid w:val="00455FAA"/>
    <w:rsid w:val="004573BB"/>
    <w:rsid w:val="00460946"/>
    <w:rsid w:val="004613B5"/>
    <w:rsid w:val="0046209C"/>
    <w:rsid w:val="00462AE3"/>
    <w:rsid w:val="00462E26"/>
    <w:rsid w:val="00463770"/>
    <w:rsid w:val="004649EC"/>
    <w:rsid w:val="004661AB"/>
    <w:rsid w:val="00466E98"/>
    <w:rsid w:val="00467DCD"/>
    <w:rsid w:val="00470011"/>
    <w:rsid w:val="0047097D"/>
    <w:rsid w:val="00470FE6"/>
    <w:rsid w:val="00471BBC"/>
    <w:rsid w:val="00471C34"/>
    <w:rsid w:val="0047233A"/>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2D60"/>
    <w:rsid w:val="00493EE1"/>
    <w:rsid w:val="00494156"/>
    <w:rsid w:val="0049494A"/>
    <w:rsid w:val="00496053"/>
    <w:rsid w:val="00497378"/>
    <w:rsid w:val="00497460"/>
    <w:rsid w:val="00497494"/>
    <w:rsid w:val="004976F2"/>
    <w:rsid w:val="00497B35"/>
    <w:rsid w:val="004A093C"/>
    <w:rsid w:val="004A0AD8"/>
    <w:rsid w:val="004A0F9F"/>
    <w:rsid w:val="004A2378"/>
    <w:rsid w:val="004A275B"/>
    <w:rsid w:val="004A4331"/>
    <w:rsid w:val="004A5C40"/>
    <w:rsid w:val="004A5FD9"/>
    <w:rsid w:val="004A7071"/>
    <w:rsid w:val="004B0216"/>
    <w:rsid w:val="004B10DE"/>
    <w:rsid w:val="004B1F8B"/>
    <w:rsid w:val="004B20F3"/>
    <w:rsid w:val="004B23B2"/>
    <w:rsid w:val="004B24E3"/>
    <w:rsid w:val="004B4298"/>
    <w:rsid w:val="004B4C52"/>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E7CE6"/>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4F7DA1"/>
    <w:rsid w:val="0050109B"/>
    <w:rsid w:val="005021D0"/>
    <w:rsid w:val="0050273A"/>
    <w:rsid w:val="00502FA5"/>
    <w:rsid w:val="00503297"/>
    <w:rsid w:val="005044CC"/>
    <w:rsid w:val="00505083"/>
    <w:rsid w:val="00505629"/>
    <w:rsid w:val="00505AC7"/>
    <w:rsid w:val="005067C3"/>
    <w:rsid w:val="005069B6"/>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15A4"/>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B4A"/>
    <w:rsid w:val="00545B6C"/>
    <w:rsid w:val="00545F90"/>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36F9"/>
    <w:rsid w:val="005652F6"/>
    <w:rsid w:val="00565C97"/>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108"/>
    <w:rsid w:val="00577A58"/>
    <w:rsid w:val="00582AC7"/>
    <w:rsid w:val="00583C42"/>
    <w:rsid w:val="00583EC3"/>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6171"/>
    <w:rsid w:val="00596CAE"/>
    <w:rsid w:val="005A0D05"/>
    <w:rsid w:val="005A10D4"/>
    <w:rsid w:val="005A2C9D"/>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8EB"/>
    <w:rsid w:val="005B4B64"/>
    <w:rsid w:val="005B4DA0"/>
    <w:rsid w:val="005B6FC6"/>
    <w:rsid w:val="005B7D46"/>
    <w:rsid w:val="005B7E9E"/>
    <w:rsid w:val="005C16E7"/>
    <w:rsid w:val="005C2095"/>
    <w:rsid w:val="005C2CE4"/>
    <w:rsid w:val="005C2DC8"/>
    <w:rsid w:val="005C3883"/>
    <w:rsid w:val="005C4020"/>
    <w:rsid w:val="005C4135"/>
    <w:rsid w:val="005C4644"/>
    <w:rsid w:val="005C47E0"/>
    <w:rsid w:val="005C50F8"/>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06"/>
    <w:rsid w:val="005D4535"/>
    <w:rsid w:val="005D4624"/>
    <w:rsid w:val="005D4EEC"/>
    <w:rsid w:val="005D4F06"/>
    <w:rsid w:val="005D6817"/>
    <w:rsid w:val="005D6EA6"/>
    <w:rsid w:val="005D7A3B"/>
    <w:rsid w:val="005E0137"/>
    <w:rsid w:val="005E02ED"/>
    <w:rsid w:val="005E1198"/>
    <w:rsid w:val="005E1542"/>
    <w:rsid w:val="005E1662"/>
    <w:rsid w:val="005E1856"/>
    <w:rsid w:val="005E1A4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3EF9"/>
    <w:rsid w:val="005F530A"/>
    <w:rsid w:val="005F606C"/>
    <w:rsid w:val="005F6219"/>
    <w:rsid w:val="005F7274"/>
    <w:rsid w:val="005F7968"/>
    <w:rsid w:val="005F79E5"/>
    <w:rsid w:val="0060214E"/>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1711A"/>
    <w:rsid w:val="00620158"/>
    <w:rsid w:val="0062215E"/>
    <w:rsid w:val="006228FC"/>
    <w:rsid w:val="00622F32"/>
    <w:rsid w:val="00623CC2"/>
    <w:rsid w:val="006248E2"/>
    <w:rsid w:val="00625DF4"/>
    <w:rsid w:val="00625E30"/>
    <w:rsid w:val="00626324"/>
    <w:rsid w:val="0062653D"/>
    <w:rsid w:val="00630819"/>
    <w:rsid w:val="00630BF2"/>
    <w:rsid w:val="00630C09"/>
    <w:rsid w:val="00630F30"/>
    <w:rsid w:val="00631229"/>
    <w:rsid w:val="006317FD"/>
    <w:rsid w:val="00632508"/>
    <w:rsid w:val="006326B2"/>
    <w:rsid w:val="00633191"/>
    <w:rsid w:val="006333CC"/>
    <w:rsid w:val="00633586"/>
    <w:rsid w:val="006339DA"/>
    <w:rsid w:val="00633A1D"/>
    <w:rsid w:val="00633E49"/>
    <w:rsid w:val="00634217"/>
    <w:rsid w:val="006342AB"/>
    <w:rsid w:val="00634590"/>
    <w:rsid w:val="00634B5D"/>
    <w:rsid w:val="00634BF3"/>
    <w:rsid w:val="00636C50"/>
    <w:rsid w:val="0063738A"/>
    <w:rsid w:val="00637BBD"/>
    <w:rsid w:val="00640B92"/>
    <w:rsid w:val="00640FFE"/>
    <w:rsid w:val="006411B8"/>
    <w:rsid w:val="0064145F"/>
    <w:rsid w:val="00641620"/>
    <w:rsid w:val="00641EBE"/>
    <w:rsid w:val="006428A9"/>
    <w:rsid w:val="00643F10"/>
    <w:rsid w:val="006449C9"/>
    <w:rsid w:val="0064500A"/>
    <w:rsid w:val="00645334"/>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3DC1"/>
    <w:rsid w:val="00664529"/>
    <w:rsid w:val="00665F5A"/>
    <w:rsid w:val="00666617"/>
    <w:rsid w:val="00666A23"/>
    <w:rsid w:val="00666A4C"/>
    <w:rsid w:val="00666EB6"/>
    <w:rsid w:val="00666F3D"/>
    <w:rsid w:val="00667664"/>
    <w:rsid w:val="006677BB"/>
    <w:rsid w:val="006707D3"/>
    <w:rsid w:val="00671B09"/>
    <w:rsid w:val="006731F3"/>
    <w:rsid w:val="006737C9"/>
    <w:rsid w:val="00673B0E"/>
    <w:rsid w:val="00673F23"/>
    <w:rsid w:val="00674AFC"/>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31A6"/>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0E06"/>
    <w:rsid w:val="006B131B"/>
    <w:rsid w:val="006B2AE0"/>
    <w:rsid w:val="006B37EF"/>
    <w:rsid w:val="006B4446"/>
    <w:rsid w:val="006B4B67"/>
    <w:rsid w:val="006B50C5"/>
    <w:rsid w:val="006B5848"/>
    <w:rsid w:val="006B59D9"/>
    <w:rsid w:val="006B5B69"/>
    <w:rsid w:val="006B5BD4"/>
    <w:rsid w:val="006B61A1"/>
    <w:rsid w:val="006B64C6"/>
    <w:rsid w:val="006B6B15"/>
    <w:rsid w:val="006B6DAF"/>
    <w:rsid w:val="006C0348"/>
    <w:rsid w:val="006C0BD1"/>
    <w:rsid w:val="006C22B0"/>
    <w:rsid w:val="006C3C3F"/>
    <w:rsid w:val="006C3F8B"/>
    <w:rsid w:val="006C43D9"/>
    <w:rsid w:val="006C54DD"/>
    <w:rsid w:val="006C5D32"/>
    <w:rsid w:val="006C5E02"/>
    <w:rsid w:val="006C6230"/>
    <w:rsid w:val="006C6376"/>
    <w:rsid w:val="006C7B62"/>
    <w:rsid w:val="006C7C34"/>
    <w:rsid w:val="006D0AC7"/>
    <w:rsid w:val="006D116C"/>
    <w:rsid w:val="006D21AC"/>
    <w:rsid w:val="006D42D7"/>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584"/>
    <w:rsid w:val="006F0B79"/>
    <w:rsid w:val="006F0EF1"/>
    <w:rsid w:val="006F2478"/>
    <w:rsid w:val="006F24FB"/>
    <w:rsid w:val="006F2CB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5DB9"/>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37F"/>
    <w:rsid w:val="007417B1"/>
    <w:rsid w:val="00741A15"/>
    <w:rsid w:val="007427CA"/>
    <w:rsid w:val="00742DB2"/>
    <w:rsid w:val="007432DF"/>
    <w:rsid w:val="00743D66"/>
    <w:rsid w:val="00743DDA"/>
    <w:rsid w:val="00744720"/>
    <w:rsid w:val="00745298"/>
    <w:rsid w:val="00745917"/>
    <w:rsid w:val="00747058"/>
    <w:rsid w:val="00747766"/>
    <w:rsid w:val="007502A1"/>
    <w:rsid w:val="00750D3B"/>
    <w:rsid w:val="007532E6"/>
    <w:rsid w:val="0075374A"/>
    <w:rsid w:val="00755199"/>
    <w:rsid w:val="00755B71"/>
    <w:rsid w:val="00756603"/>
    <w:rsid w:val="007571A9"/>
    <w:rsid w:val="007572DC"/>
    <w:rsid w:val="00761B81"/>
    <w:rsid w:val="00762416"/>
    <w:rsid w:val="00762785"/>
    <w:rsid w:val="007642B9"/>
    <w:rsid w:val="0076489F"/>
    <w:rsid w:val="00764CCE"/>
    <w:rsid w:val="007651A1"/>
    <w:rsid w:val="007651AC"/>
    <w:rsid w:val="00765465"/>
    <w:rsid w:val="00765BB6"/>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3A6D"/>
    <w:rsid w:val="00785116"/>
    <w:rsid w:val="007852D5"/>
    <w:rsid w:val="007865B9"/>
    <w:rsid w:val="00786709"/>
    <w:rsid w:val="00786CC3"/>
    <w:rsid w:val="00787E14"/>
    <w:rsid w:val="00790AFF"/>
    <w:rsid w:val="00793380"/>
    <w:rsid w:val="007936B7"/>
    <w:rsid w:val="00795B19"/>
    <w:rsid w:val="00795F03"/>
    <w:rsid w:val="0079759A"/>
    <w:rsid w:val="00797CEE"/>
    <w:rsid w:val="00797FDB"/>
    <w:rsid w:val="007A02C1"/>
    <w:rsid w:val="007A0D48"/>
    <w:rsid w:val="007A0DDC"/>
    <w:rsid w:val="007A3278"/>
    <w:rsid w:val="007A3924"/>
    <w:rsid w:val="007A40B8"/>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0C6"/>
    <w:rsid w:val="007B4CE9"/>
    <w:rsid w:val="007B4DAD"/>
    <w:rsid w:val="007B526D"/>
    <w:rsid w:val="007B5725"/>
    <w:rsid w:val="007B5A7C"/>
    <w:rsid w:val="007B6F74"/>
    <w:rsid w:val="007B73C7"/>
    <w:rsid w:val="007B76BE"/>
    <w:rsid w:val="007C07C5"/>
    <w:rsid w:val="007C0B18"/>
    <w:rsid w:val="007C0F48"/>
    <w:rsid w:val="007C10AB"/>
    <w:rsid w:val="007C1703"/>
    <w:rsid w:val="007C2AC0"/>
    <w:rsid w:val="007C2EF2"/>
    <w:rsid w:val="007C2FD0"/>
    <w:rsid w:val="007C3BC8"/>
    <w:rsid w:val="007C40D7"/>
    <w:rsid w:val="007C4779"/>
    <w:rsid w:val="007C4F53"/>
    <w:rsid w:val="007C51DD"/>
    <w:rsid w:val="007C5239"/>
    <w:rsid w:val="007C52AF"/>
    <w:rsid w:val="007C5AA7"/>
    <w:rsid w:val="007C664D"/>
    <w:rsid w:val="007C7216"/>
    <w:rsid w:val="007C79FA"/>
    <w:rsid w:val="007C7FE6"/>
    <w:rsid w:val="007D0883"/>
    <w:rsid w:val="007D08CD"/>
    <w:rsid w:val="007D1001"/>
    <w:rsid w:val="007D1C73"/>
    <w:rsid w:val="007D1CF6"/>
    <w:rsid w:val="007D27CA"/>
    <w:rsid w:val="007D39C2"/>
    <w:rsid w:val="007D3EC3"/>
    <w:rsid w:val="007D55B2"/>
    <w:rsid w:val="007D5670"/>
    <w:rsid w:val="007D6344"/>
    <w:rsid w:val="007D6566"/>
    <w:rsid w:val="007D6B24"/>
    <w:rsid w:val="007D6F07"/>
    <w:rsid w:val="007D7007"/>
    <w:rsid w:val="007E0620"/>
    <w:rsid w:val="007E0821"/>
    <w:rsid w:val="007E21FB"/>
    <w:rsid w:val="007E264A"/>
    <w:rsid w:val="007E2E1A"/>
    <w:rsid w:val="007E40BD"/>
    <w:rsid w:val="007E40F1"/>
    <w:rsid w:val="007E4883"/>
    <w:rsid w:val="007E49DF"/>
    <w:rsid w:val="007E5811"/>
    <w:rsid w:val="007E5891"/>
    <w:rsid w:val="007E58CB"/>
    <w:rsid w:val="007E7A42"/>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38B"/>
    <w:rsid w:val="008054AB"/>
    <w:rsid w:val="00805A73"/>
    <w:rsid w:val="00805A8C"/>
    <w:rsid w:val="00805BED"/>
    <w:rsid w:val="00806338"/>
    <w:rsid w:val="008072E9"/>
    <w:rsid w:val="00807F97"/>
    <w:rsid w:val="0081079F"/>
    <w:rsid w:val="00810835"/>
    <w:rsid w:val="00810B79"/>
    <w:rsid w:val="008111E3"/>
    <w:rsid w:val="00811F16"/>
    <w:rsid w:val="00813481"/>
    <w:rsid w:val="008147E3"/>
    <w:rsid w:val="008158A9"/>
    <w:rsid w:val="0081595E"/>
    <w:rsid w:val="008165F9"/>
    <w:rsid w:val="00817DB1"/>
    <w:rsid w:val="00817FB2"/>
    <w:rsid w:val="00820E00"/>
    <w:rsid w:val="008219F4"/>
    <w:rsid w:val="008229BA"/>
    <w:rsid w:val="00824C3B"/>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B99"/>
    <w:rsid w:val="00843DC2"/>
    <w:rsid w:val="008440E1"/>
    <w:rsid w:val="00845C1D"/>
    <w:rsid w:val="00846800"/>
    <w:rsid w:val="008468B8"/>
    <w:rsid w:val="00846C77"/>
    <w:rsid w:val="00847D2F"/>
    <w:rsid w:val="00851689"/>
    <w:rsid w:val="00852D44"/>
    <w:rsid w:val="00855291"/>
    <w:rsid w:val="008576A8"/>
    <w:rsid w:val="008576D5"/>
    <w:rsid w:val="00857B49"/>
    <w:rsid w:val="00860518"/>
    <w:rsid w:val="00860B04"/>
    <w:rsid w:val="00862FE8"/>
    <w:rsid w:val="0086327D"/>
    <w:rsid w:val="008636D7"/>
    <w:rsid w:val="008640B0"/>
    <w:rsid w:val="00864238"/>
    <w:rsid w:val="0086488F"/>
    <w:rsid w:val="00865B27"/>
    <w:rsid w:val="00866C88"/>
    <w:rsid w:val="008700C5"/>
    <w:rsid w:val="00870B42"/>
    <w:rsid w:val="00870F99"/>
    <w:rsid w:val="00871E92"/>
    <w:rsid w:val="00873CCF"/>
    <w:rsid w:val="00874743"/>
    <w:rsid w:val="0087499A"/>
    <w:rsid w:val="00874AE9"/>
    <w:rsid w:val="00874E00"/>
    <w:rsid w:val="008751B4"/>
    <w:rsid w:val="00876ABB"/>
    <w:rsid w:val="00877981"/>
    <w:rsid w:val="00877E78"/>
    <w:rsid w:val="008815FD"/>
    <w:rsid w:val="0088218C"/>
    <w:rsid w:val="00882BCB"/>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231F"/>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63EF"/>
    <w:rsid w:val="008C6C4C"/>
    <w:rsid w:val="008C73BF"/>
    <w:rsid w:val="008C7C5A"/>
    <w:rsid w:val="008D02DA"/>
    <w:rsid w:val="008D06B6"/>
    <w:rsid w:val="008D0ECB"/>
    <w:rsid w:val="008D1C2A"/>
    <w:rsid w:val="008D26DC"/>
    <w:rsid w:val="008D29D3"/>
    <w:rsid w:val="008D2A3E"/>
    <w:rsid w:val="008D2FA5"/>
    <w:rsid w:val="008D3AD0"/>
    <w:rsid w:val="008D4768"/>
    <w:rsid w:val="008D4BD9"/>
    <w:rsid w:val="008D511C"/>
    <w:rsid w:val="008D5158"/>
    <w:rsid w:val="008D697E"/>
    <w:rsid w:val="008D6A8E"/>
    <w:rsid w:val="008D784B"/>
    <w:rsid w:val="008D7BCD"/>
    <w:rsid w:val="008D7C9A"/>
    <w:rsid w:val="008D7F5C"/>
    <w:rsid w:val="008E0347"/>
    <w:rsid w:val="008E0B00"/>
    <w:rsid w:val="008E0C62"/>
    <w:rsid w:val="008E1744"/>
    <w:rsid w:val="008E2066"/>
    <w:rsid w:val="008E2459"/>
    <w:rsid w:val="008E306A"/>
    <w:rsid w:val="008E474E"/>
    <w:rsid w:val="008E4F2D"/>
    <w:rsid w:val="008E544B"/>
    <w:rsid w:val="008E5D34"/>
    <w:rsid w:val="008E6032"/>
    <w:rsid w:val="008E609D"/>
    <w:rsid w:val="008E6A15"/>
    <w:rsid w:val="008E6B14"/>
    <w:rsid w:val="008E750A"/>
    <w:rsid w:val="008E78DC"/>
    <w:rsid w:val="008E7977"/>
    <w:rsid w:val="008E7FE1"/>
    <w:rsid w:val="008E7FE7"/>
    <w:rsid w:val="008F09B0"/>
    <w:rsid w:val="008F0AFE"/>
    <w:rsid w:val="008F122A"/>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670D"/>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2419"/>
    <w:rsid w:val="0093362D"/>
    <w:rsid w:val="00933C1A"/>
    <w:rsid w:val="00934694"/>
    <w:rsid w:val="009350CE"/>
    <w:rsid w:val="0093556C"/>
    <w:rsid w:val="00935645"/>
    <w:rsid w:val="00942282"/>
    <w:rsid w:val="0094266F"/>
    <w:rsid w:val="00942C11"/>
    <w:rsid w:val="00942CFA"/>
    <w:rsid w:val="00943939"/>
    <w:rsid w:val="009440A5"/>
    <w:rsid w:val="00944A8B"/>
    <w:rsid w:val="00946BC1"/>
    <w:rsid w:val="00947A98"/>
    <w:rsid w:val="00947BB6"/>
    <w:rsid w:val="00950C93"/>
    <w:rsid w:val="00950E3C"/>
    <w:rsid w:val="009513C8"/>
    <w:rsid w:val="009518A0"/>
    <w:rsid w:val="00951EC9"/>
    <w:rsid w:val="0095458B"/>
    <w:rsid w:val="00954629"/>
    <w:rsid w:val="00954AEC"/>
    <w:rsid w:val="009550F6"/>
    <w:rsid w:val="00955962"/>
    <w:rsid w:val="00955B10"/>
    <w:rsid w:val="00955B24"/>
    <w:rsid w:val="0095615F"/>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16EC"/>
    <w:rsid w:val="00982392"/>
    <w:rsid w:val="0098276C"/>
    <w:rsid w:val="00982D5B"/>
    <w:rsid w:val="009831C3"/>
    <w:rsid w:val="00983CA1"/>
    <w:rsid w:val="00983DC9"/>
    <w:rsid w:val="00983DCA"/>
    <w:rsid w:val="00984044"/>
    <w:rsid w:val="00984808"/>
    <w:rsid w:val="00985517"/>
    <w:rsid w:val="00985612"/>
    <w:rsid w:val="00985850"/>
    <w:rsid w:val="0098590F"/>
    <w:rsid w:val="009864CF"/>
    <w:rsid w:val="009865DF"/>
    <w:rsid w:val="00986AB7"/>
    <w:rsid w:val="00987BE5"/>
    <w:rsid w:val="0099004F"/>
    <w:rsid w:val="00990A37"/>
    <w:rsid w:val="00991197"/>
    <w:rsid w:val="00991587"/>
    <w:rsid w:val="00991D7B"/>
    <w:rsid w:val="00993A16"/>
    <w:rsid w:val="00993BF1"/>
    <w:rsid w:val="0099411C"/>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162"/>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43"/>
    <w:rsid w:val="009C298A"/>
    <w:rsid w:val="009C2CBB"/>
    <w:rsid w:val="009C3590"/>
    <w:rsid w:val="009C36D8"/>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1E53"/>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4DB9"/>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2F89"/>
    <w:rsid w:val="00A231B9"/>
    <w:rsid w:val="00A23916"/>
    <w:rsid w:val="00A23C8C"/>
    <w:rsid w:val="00A23FE4"/>
    <w:rsid w:val="00A24190"/>
    <w:rsid w:val="00A24A02"/>
    <w:rsid w:val="00A24FEF"/>
    <w:rsid w:val="00A257D2"/>
    <w:rsid w:val="00A25AB7"/>
    <w:rsid w:val="00A25AC1"/>
    <w:rsid w:val="00A25C51"/>
    <w:rsid w:val="00A261B9"/>
    <w:rsid w:val="00A27224"/>
    <w:rsid w:val="00A3140D"/>
    <w:rsid w:val="00A31429"/>
    <w:rsid w:val="00A31918"/>
    <w:rsid w:val="00A324F4"/>
    <w:rsid w:val="00A32754"/>
    <w:rsid w:val="00A3289E"/>
    <w:rsid w:val="00A32DDA"/>
    <w:rsid w:val="00A32FE7"/>
    <w:rsid w:val="00A33A71"/>
    <w:rsid w:val="00A34EC9"/>
    <w:rsid w:val="00A34EF8"/>
    <w:rsid w:val="00A352A5"/>
    <w:rsid w:val="00A368C3"/>
    <w:rsid w:val="00A369D3"/>
    <w:rsid w:val="00A36CB0"/>
    <w:rsid w:val="00A3705E"/>
    <w:rsid w:val="00A37320"/>
    <w:rsid w:val="00A37342"/>
    <w:rsid w:val="00A37D03"/>
    <w:rsid w:val="00A4086A"/>
    <w:rsid w:val="00A41035"/>
    <w:rsid w:val="00A41163"/>
    <w:rsid w:val="00A415F5"/>
    <w:rsid w:val="00A42048"/>
    <w:rsid w:val="00A42B69"/>
    <w:rsid w:val="00A42C32"/>
    <w:rsid w:val="00A43D20"/>
    <w:rsid w:val="00A44966"/>
    <w:rsid w:val="00A452C0"/>
    <w:rsid w:val="00A46FE8"/>
    <w:rsid w:val="00A50249"/>
    <w:rsid w:val="00A51688"/>
    <w:rsid w:val="00A51B8D"/>
    <w:rsid w:val="00A51D34"/>
    <w:rsid w:val="00A51ED1"/>
    <w:rsid w:val="00A53090"/>
    <w:rsid w:val="00A54A0E"/>
    <w:rsid w:val="00A54D64"/>
    <w:rsid w:val="00A557CB"/>
    <w:rsid w:val="00A557D1"/>
    <w:rsid w:val="00A55E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6DE5"/>
    <w:rsid w:val="00A6707E"/>
    <w:rsid w:val="00A67A46"/>
    <w:rsid w:val="00A67B53"/>
    <w:rsid w:val="00A70266"/>
    <w:rsid w:val="00A70D86"/>
    <w:rsid w:val="00A72126"/>
    <w:rsid w:val="00A721CE"/>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188C"/>
    <w:rsid w:val="00A92227"/>
    <w:rsid w:val="00A92D3A"/>
    <w:rsid w:val="00A93418"/>
    <w:rsid w:val="00A93866"/>
    <w:rsid w:val="00A95439"/>
    <w:rsid w:val="00A967FF"/>
    <w:rsid w:val="00A973CC"/>
    <w:rsid w:val="00A9761D"/>
    <w:rsid w:val="00A9781D"/>
    <w:rsid w:val="00A97DBE"/>
    <w:rsid w:val="00A97F45"/>
    <w:rsid w:val="00AA1754"/>
    <w:rsid w:val="00AA36EE"/>
    <w:rsid w:val="00AA4083"/>
    <w:rsid w:val="00AA4800"/>
    <w:rsid w:val="00AA4961"/>
    <w:rsid w:val="00AA4A59"/>
    <w:rsid w:val="00AA5D8E"/>
    <w:rsid w:val="00AA5EBA"/>
    <w:rsid w:val="00AA601F"/>
    <w:rsid w:val="00AA61B3"/>
    <w:rsid w:val="00AA71E3"/>
    <w:rsid w:val="00AA7495"/>
    <w:rsid w:val="00AA7910"/>
    <w:rsid w:val="00AB036E"/>
    <w:rsid w:val="00AB0B3E"/>
    <w:rsid w:val="00AB1B28"/>
    <w:rsid w:val="00AB25C6"/>
    <w:rsid w:val="00AB28F8"/>
    <w:rsid w:val="00AB346C"/>
    <w:rsid w:val="00AB35DF"/>
    <w:rsid w:val="00AB5F1A"/>
    <w:rsid w:val="00AB6F51"/>
    <w:rsid w:val="00AB701F"/>
    <w:rsid w:val="00AB7D49"/>
    <w:rsid w:val="00AC0AA8"/>
    <w:rsid w:val="00AC3419"/>
    <w:rsid w:val="00AC436D"/>
    <w:rsid w:val="00AC453B"/>
    <w:rsid w:val="00AC599B"/>
    <w:rsid w:val="00AC6102"/>
    <w:rsid w:val="00AC62DE"/>
    <w:rsid w:val="00AC644A"/>
    <w:rsid w:val="00AC67AB"/>
    <w:rsid w:val="00AC79B6"/>
    <w:rsid w:val="00AC7CF7"/>
    <w:rsid w:val="00AD044F"/>
    <w:rsid w:val="00AD0B2B"/>
    <w:rsid w:val="00AD1ABD"/>
    <w:rsid w:val="00AD4220"/>
    <w:rsid w:val="00AD4CED"/>
    <w:rsid w:val="00AD4FA5"/>
    <w:rsid w:val="00AD5583"/>
    <w:rsid w:val="00AD55FE"/>
    <w:rsid w:val="00AD68B9"/>
    <w:rsid w:val="00AD7059"/>
    <w:rsid w:val="00AD7D54"/>
    <w:rsid w:val="00AE052B"/>
    <w:rsid w:val="00AE06D9"/>
    <w:rsid w:val="00AE21F6"/>
    <w:rsid w:val="00AE3C77"/>
    <w:rsid w:val="00AE3DF0"/>
    <w:rsid w:val="00AE55BF"/>
    <w:rsid w:val="00AE57F7"/>
    <w:rsid w:val="00AE6C7E"/>
    <w:rsid w:val="00AE7DD0"/>
    <w:rsid w:val="00AE7E89"/>
    <w:rsid w:val="00AF0031"/>
    <w:rsid w:val="00AF011E"/>
    <w:rsid w:val="00AF03CE"/>
    <w:rsid w:val="00AF0A9D"/>
    <w:rsid w:val="00AF188F"/>
    <w:rsid w:val="00AF3703"/>
    <w:rsid w:val="00AF5A2F"/>
    <w:rsid w:val="00AF5EB7"/>
    <w:rsid w:val="00AF6208"/>
    <w:rsid w:val="00AF62A2"/>
    <w:rsid w:val="00AF6A02"/>
    <w:rsid w:val="00AF6E31"/>
    <w:rsid w:val="00B00198"/>
    <w:rsid w:val="00B00B08"/>
    <w:rsid w:val="00B0162D"/>
    <w:rsid w:val="00B01B12"/>
    <w:rsid w:val="00B01E6E"/>
    <w:rsid w:val="00B02310"/>
    <w:rsid w:val="00B03B27"/>
    <w:rsid w:val="00B04F39"/>
    <w:rsid w:val="00B05460"/>
    <w:rsid w:val="00B05CF7"/>
    <w:rsid w:val="00B06EC1"/>
    <w:rsid w:val="00B07516"/>
    <w:rsid w:val="00B10284"/>
    <w:rsid w:val="00B111D8"/>
    <w:rsid w:val="00B1254A"/>
    <w:rsid w:val="00B12A17"/>
    <w:rsid w:val="00B12FDC"/>
    <w:rsid w:val="00B1342F"/>
    <w:rsid w:val="00B13B51"/>
    <w:rsid w:val="00B14618"/>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F51"/>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3ED"/>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2A5F"/>
    <w:rsid w:val="00B7349E"/>
    <w:rsid w:val="00B737FA"/>
    <w:rsid w:val="00B73B06"/>
    <w:rsid w:val="00B73D08"/>
    <w:rsid w:val="00B75CCD"/>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21F"/>
    <w:rsid w:val="00B92E1E"/>
    <w:rsid w:val="00B92FD5"/>
    <w:rsid w:val="00B94181"/>
    <w:rsid w:val="00B94AB5"/>
    <w:rsid w:val="00B95270"/>
    <w:rsid w:val="00B95AFF"/>
    <w:rsid w:val="00B95CD3"/>
    <w:rsid w:val="00B96043"/>
    <w:rsid w:val="00B968DE"/>
    <w:rsid w:val="00B975C7"/>
    <w:rsid w:val="00BA135A"/>
    <w:rsid w:val="00BA1E62"/>
    <w:rsid w:val="00BA39F1"/>
    <w:rsid w:val="00BA47E8"/>
    <w:rsid w:val="00BA4A4A"/>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145"/>
    <w:rsid w:val="00BC1E92"/>
    <w:rsid w:val="00BC263B"/>
    <w:rsid w:val="00BC2FBE"/>
    <w:rsid w:val="00BC33FF"/>
    <w:rsid w:val="00BC46E1"/>
    <w:rsid w:val="00BC49C6"/>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4B38"/>
    <w:rsid w:val="00BE4D1B"/>
    <w:rsid w:val="00BE5430"/>
    <w:rsid w:val="00BE757F"/>
    <w:rsid w:val="00BF1530"/>
    <w:rsid w:val="00BF1803"/>
    <w:rsid w:val="00BF30F7"/>
    <w:rsid w:val="00BF37F8"/>
    <w:rsid w:val="00BF3B77"/>
    <w:rsid w:val="00BF64EB"/>
    <w:rsid w:val="00BF6A68"/>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8A0"/>
    <w:rsid w:val="00C145B6"/>
    <w:rsid w:val="00C14B7B"/>
    <w:rsid w:val="00C15CCD"/>
    <w:rsid w:val="00C169B9"/>
    <w:rsid w:val="00C17126"/>
    <w:rsid w:val="00C201B1"/>
    <w:rsid w:val="00C20C76"/>
    <w:rsid w:val="00C20CA4"/>
    <w:rsid w:val="00C20DA7"/>
    <w:rsid w:val="00C228BE"/>
    <w:rsid w:val="00C22AC7"/>
    <w:rsid w:val="00C26256"/>
    <w:rsid w:val="00C26D57"/>
    <w:rsid w:val="00C270C1"/>
    <w:rsid w:val="00C27AC0"/>
    <w:rsid w:val="00C27FDC"/>
    <w:rsid w:val="00C30004"/>
    <w:rsid w:val="00C307A9"/>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587"/>
    <w:rsid w:val="00C479AB"/>
    <w:rsid w:val="00C47D96"/>
    <w:rsid w:val="00C502C9"/>
    <w:rsid w:val="00C50935"/>
    <w:rsid w:val="00C509AA"/>
    <w:rsid w:val="00C50C06"/>
    <w:rsid w:val="00C51B6E"/>
    <w:rsid w:val="00C533D1"/>
    <w:rsid w:val="00C54F09"/>
    <w:rsid w:val="00C55325"/>
    <w:rsid w:val="00C5569B"/>
    <w:rsid w:val="00C559AD"/>
    <w:rsid w:val="00C56E34"/>
    <w:rsid w:val="00C57488"/>
    <w:rsid w:val="00C5788F"/>
    <w:rsid w:val="00C57BEE"/>
    <w:rsid w:val="00C57E1B"/>
    <w:rsid w:val="00C603C4"/>
    <w:rsid w:val="00C61401"/>
    <w:rsid w:val="00C62886"/>
    <w:rsid w:val="00C62CD3"/>
    <w:rsid w:val="00C62D6E"/>
    <w:rsid w:val="00C630FC"/>
    <w:rsid w:val="00C631E3"/>
    <w:rsid w:val="00C633E1"/>
    <w:rsid w:val="00C635E1"/>
    <w:rsid w:val="00C6360C"/>
    <w:rsid w:val="00C64865"/>
    <w:rsid w:val="00C64AED"/>
    <w:rsid w:val="00C64B7B"/>
    <w:rsid w:val="00C6631E"/>
    <w:rsid w:val="00C669E7"/>
    <w:rsid w:val="00C66EA0"/>
    <w:rsid w:val="00C67066"/>
    <w:rsid w:val="00C67589"/>
    <w:rsid w:val="00C67BA6"/>
    <w:rsid w:val="00C7032A"/>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1614"/>
    <w:rsid w:val="00C924D9"/>
    <w:rsid w:val="00C92B80"/>
    <w:rsid w:val="00C953B2"/>
    <w:rsid w:val="00C953E6"/>
    <w:rsid w:val="00C95417"/>
    <w:rsid w:val="00C954F9"/>
    <w:rsid w:val="00C955BE"/>
    <w:rsid w:val="00C96949"/>
    <w:rsid w:val="00C96A72"/>
    <w:rsid w:val="00C9729B"/>
    <w:rsid w:val="00C97665"/>
    <w:rsid w:val="00C97FB3"/>
    <w:rsid w:val="00CA0078"/>
    <w:rsid w:val="00CA17BE"/>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0E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2D73"/>
    <w:rsid w:val="00CE3462"/>
    <w:rsid w:val="00CE373D"/>
    <w:rsid w:val="00CE3816"/>
    <w:rsid w:val="00CE3998"/>
    <w:rsid w:val="00CE4381"/>
    <w:rsid w:val="00CE4F7B"/>
    <w:rsid w:val="00CE7F6F"/>
    <w:rsid w:val="00CF0562"/>
    <w:rsid w:val="00CF15CD"/>
    <w:rsid w:val="00CF17D2"/>
    <w:rsid w:val="00CF1A07"/>
    <w:rsid w:val="00CF1B9A"/>
    <w:rsid w:val="00CF2221"/>
    <w:rsid w:val="00CF22B3"/>
    <w:rsid w:val="00CF2D95"/>
    <w:rsid w:val="00CF45A7"/>
    <w:rsid w:val="00CF45C6"/>
    <w:rsid w:val="00CF4ED7"/>
    <w:rsid w:val="00CF523C"/>
    <w:rsid w:val="00CF61A8"/>
    <w:rsid w:val="00CF659F"/>
    <w:rsid w:val="00CF6880"/>
    <w:rsid w:val="00D00966"/>
    <w:rsid w:val="00D0189E"/>
    <w:rsid w:val="00D02291"/>
    <w:rsid w:val="00D0299F"/>
    <w:rsid w:val="00D0314D"/>
    <w:rsid w:val="00D033C2"/>
    <w:rsid w:val="00D03906"/>
    <w:rsid w:val="00D03AD7"/>
    <w:rsid w:val="00D03C69"/>
    <w:rsid w:val="00D043A7"/>
    <w:rsid w:val="00D04CC0"/>
    <w:rsid w:val="00D057B5"/>
    <w:rsid w:val="00D05DC7"/>
    <w:rsid w:val="00D07402"/>
    <w:rsid w:val="00D076FE"/>
    <w:rsid w:val="00D07D31"/>
    <w:rsid w:val="00D07E3F"/>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DD6"/>
    <w:rsid w:val="00D31FDB"/>
    <w:rsid w:val="00D32097"/>
    <w:rsid w:val="00D325E5"/>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67595"/>
    <w:rsid w:val="00D67DFC"/>
    <w:rsid w:val="00D7058A"/>
    <w:rsid w:val="00D70CE0"/>
    <w:rsid w:val="00D74765"/>
    <w:rsid w:val="00D74E12"/>
    <w:rsid w:val="00D768CC"/>
    <w:rsid w:val="00D7738B"/>
    <w:rsid w:val="00D777A7"/>
    <w:rsid w:val="00D777C8"/>
    <w:rsid w:val="00D77A29"/>
    <w:rsid w:val="00D818C6"/>
    <w:rsid w:val="00D86199"/>
    <w:rsid w:val="00D867D2"/>
    <w:rsid w:val="00D86AC1"/>
    <w:rsid w:val="00D86B28"/>
    <w:rsid w:val="00D87A99"/>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0536"/>
    <w:rsid w:val="00DA2E4A"/>
    <w:rsid w:val="00DA42FF"/>
    <w:rsid w:val="00DA4FF3"/>
    <w:rsid w:val="00DA5642"/>
    <w:rsid w:val="00DA5647"/>
    <w:rsid w:val="00DA6EB5"/>
    <w:rsid w:val="00DA7DF1"/>
    <w:rsid w:val="00DB0402"/>
    <w:rsid w:val="00DB2423"/>
    <w:rsid w:val="00DB28C3"/>
    <w:rsid w:val="00DB2A44"/>
    <w:rsid w:val="00DB4026"/>
    <w:rsid w:val="00DB4164"/>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78A"/>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6DCD"/>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9EE"/>
    <w:rsid w:val="00E07F04"/>
    <w:rsid w:val="00E10266"/>
    <w:rsid w:val="00E104C6"/>
    <w:rsid w:val="00E1053D"/>
    <w:rsid w:val="00E114B6"/>
    <w:rsid w:val="00E12C30"/>
    <w:rsid w:val="00E1349E"/>
    <w:rsid w:val="00E14386"/>
    <w:rsid w:val="00E1451D"/>
    <w:rsid w:val="00E1472B"/>
    <w:rsid w:val="00E14A38"/>
    <w:rsid w:val="00E157E4"/>
    <w:rsid w:val="00E16784"/>
    <w:rsid w:val="00E1795D"/>
    <w:rsid w:val="00E17A88"/>
    <w:rsid w:val="00E20796"/>
    <w:rsid w:val="00E20935"/>
    <w:rsid w:val="00E21216"/>
    <w:rsid w:val="00E2183A"/>
    <w:rsid w:val="00E21C1C"/>
    <w:rsid w:val="00E231E5"/>
    <w:rsid w:val="00E23EDF"/>
    <w:rsid w:val="00E2438D"/>
    <w:rsid w:val="00E24A3F"/>
    <w:rsid w:val="00E24EA4"/>
    <w:rsid w:val="00E2579C"/>
    <w:rsid w:val="00E25F37"/>
    <w:rsid w:val="00E26B91"/>
    <w:rsid w:val="00E26EDD"/>
    <w:rsid w:val="00E27B12"/>
    <w:rsid w:val="00E31BF2"/>
    <w:rsid w:val="00E32D13"/>
    <w:rsid w:val="00E33179"/>
    <w:rsid w:val="00E331C0"/>
    <w:rsid w:val="00E33468"/>
    <w:rsid w:val="00E33473"/>
    <w:rsid w:val="00E34134"/>
    <w:rsid w:val="00E34263"/>
    <w:rsid w:val="00E34B9C"/>
    <w:rsid w:val="00E34FFC"/>
    <w:rsid w:val="00E35947"/>
    <w:rsid w:val="00E35B3C"/>
    <w:rsid w:val="00E36CB2"/>
    <w:rsid w:val="00E4006A"/>
    <w:rsid w:val="00E40F04"/>
    <w:rsid w:val="00E4114E"/>
    <w:rsid w:val="00E42F80"/>
    <w:rsid w:val="00E45F1C"/>
    <w:rsid w:val="00E46AF8"/>
    <w:rsid w:val="00E46CBA"/>
    <w:rsid w:val="00E47FDE"/>
    <w:rsid w:val="00E507D9"/>
    <w:rsid w:val="00E513DF"/>
    <w:rsid w:val="00E52130"/>
    <w:rsid w:val="00E5275C"/>
    <w:rsid w:val="00E5429E"/>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38C8"/>
    <w:rsid w:val="00E945CD"/>
    <w:rsid w:val="00E95697"/>
    <w:rsid w:val="00E95879"/>
    <w:rsid w:val="00E95D22"/>
    <w:rsid w:val="00E96EC0"/>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BA6"/>
    <w:rsid w:val="00EB0DA4"/>
    <w:rsid w:val="00EB14EC"/>
    <w:rsid w:val="00EB1FFF"/>
    <w:rsid w:val="00EB293B"/>
    <w:rsid w:val="00EB3575"/>
    <w:rsid w:val="00EB3B48"/>
    <w:rsid w:val="00EB3B86"/>
    <w:rsid w:val="00EB3CBD"/>
    <w:rsid w:val="00EB4152"/>
    <w:rsid w:val="00EB5483"/>
    <w:rsid w:val="00EB5FF2"/>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69BF"/>
    <w:rsid w:val="00ED715D"/>
    <w:rsid w:val="00EE126B"/>
    <w:rsid w:val="00EE2A8F"/>
    <w:rsid w:val="00EE3363"/>
    <w:rsid w:val="00EE33EB"/>
    <w:rsid w:val="00EE497F"/>
    <w:rsid w:val="00EE4A6A"/>
    <w:rsid w:val="00EE4BE9"/>
    <w:rsid w:val="00EE4E03"/>
    <w:rsid w:val="00EE6199"/>
    <w:rsid w:val="00EE675B"/>
    <w:rsid w:val="00EE6A31"/>
    <w:rsid w:val="00EE762E"/>
    <w:rsid w:val="00EE7973"/>
    <w:rsid w:val="00EE7A86"/>
    <w:rsid w:val="00EF073D"/>
    <w:rsid w:val="00EF0AF6"/>
    <w:rsid w:val="00EF10C9"/>
    <w:rsid w:val="00EF15D8"/>
    <w:rsid w:val="00EF1772"/>
    <w:rsid w:val="00EF2136"/>
    <w:rsid w:val="00EF28E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2F1F"/>
    <w:rsid w:val="00F5415C"/>
    <w:rsid w:val="00F5427A"/>
    <w:rsid w:val="00F54370"/>
    <w:rsid w:val="00F54449"/>
    <w:rsid w:val="00F54FBE"/>
    <w:rsid w:val="00F558B4"/>
    <w:rsid w:val="00F55A37"/>
    <w:rsid w:val="00F5730F"/>
    <w:rsid w:val="00F57642"/>
    <w:rsid w:val="00F5794D"/>
    <w:rsid w:val="00F60492"/>
    <w:rsid w:val="00F60780"/>
    <w:rsid w:val="00F6079B"/>
    <w:rsid w:val="00F60CC7"/>
    <w:rsid w:val="00F611EB"/>
    <w:rsid w:val="00F61201"/>
    <w:rsid w:val="00F61CEA"/>
    <w:rsid w:val="00F62839"/>
    <w:rsid w:val="00F62C14"/>
    <w:rsid w:val="00F634FD"/>
    <w:rsid w:val="00F63F2B"/>
    <w:rsid w:val="00F64390"/>
    <w:rsid w:val="00F6501E"/>
    <w:rsid w:val="00F65D2F"/>
    <w:rsid w:val="00F66893"/>
    <w:rsid w:val="00F67540"/>
    <w:rsid w:val="00F67563"/>
    <w:rsid w:val="00F67841"/>
    <w:rsid w:val="00F67872"/>
    <w:rsid w:val="00F67B39"/>
    <w:rsid w:val="00F70090"/>
    <w:rsid w:val="00F7029C"/>
    <w:rsid w:val="00F70378"/>
    <w:rsid w:val="00F70D6A"/>
    <w:rsid w:val="00F70DE7"/>
    <w:rsid w:val="00F70E49"/>
    <w:rsid w:val="00F70F5F"/>
    <w:rsid w:val="00F72335"/>
    <w:rsid w:val="00F7234D"/>
    <w:rsid w:val="00F7267F"/>
    <w:rsid w:val="00F726B8"/>
    <w:rsid w:val="00F73A9C"/>
    <w:rsid w:val="00F77386"/>
    <w:rsid w:val="00F81CDA"/>
    <w:rsid w:val="00F81F41"/>
    <w:rsid w:val="00F824B0"/>
    <w:rsid w:val="00F848CF"/>
    <w:rsid w:val="00F84BC1"/>
    <w:rsid w:val="00F84CAE"/>
    <w:rsid w:val="00F84F75"/>
    <w:rsid w:val="00F85E4A"/>
    <w:rsid w:val="00F868D5"/>
    <w:rsid w:val="00F86B31"/>
    <w:rsid w:val="00F87224"/>
    <w:rsid w:val="00F90962"/>
    <w:rsid w:val="00F9288C"/>
    <w:rsid w:val="00F9340C"/>
    <w:rsid w:val="00F935A1"/>
    <w:rsid w:val="00F94393"/>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0C92"/>
    <w:rsid w:val="00FB124C"/>
    <w:rsid w:val="00FB1944"/>
    <w:rsid w:val="00FB31BD"/>
    <w:rsid w:val="00FB37E5"/>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4B7"/>
    <w:rsid w:val="00FC771C"/>
    <w:rsid w:val="00FC77BC"/>
    <w:rsid w:val="00FD020E"/>
    <w:rsid w:val="00FD06BC"/>
    <w:rsid w:val="00FD0974"/>
    <w:rsid w:val="00FD0EA0"/>
    <w:rsid w:val="00FD1627"/>
    <w:rsid w:val="00FD21BC"/>
    <w:rsid w:val="00FD2453"/>
    <w:rsid w:val="00FD304B"/>
    <w:rsid w:val="00FD5D55"/>
    <w:rsid w:val="00FD5F29"/>
    <w:rsid w:val="00FD6CF7"/>
    <w:rsid w:val="00FD7262"/>
    <w:rsid w:val="00FE013D"/>
    <w:rsid w:val="00FE1724"/>
    <w:rsid w:val="00FE209E"/>
    <w:rsid w:val="00FE2552"/>
    <w:rsid w:val="00FE397E"/>
    <w:rsid w:val="00FE4EA6"/>
    <w:rsid w:val="00FE6202"/>
    <w:rsid w:val="00FF164C"/>
    <w:rsid w:val="00FF1AC4"/>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376F09"/>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376F09"/>
    <w:rPr>
      <w:rFonts w:ascii="Arial" w:eastAsia="MS Mincho" w:hAnsi="Arial"/>
      <w:i/>
      <w:noProof/>
      <w:sz w:val="18"/>
      <w:szCs w:val="24"/>
      <w:lang w:val="en-GB" w:eastAsia="en-GB"/>
    </w:rPr>
  </w:style>
  <w:style w:type="paragraph" w:styleId="TOC3">
    <w:name w:val="toc 3"/>
    <w:basedOn w:val="Normal"/>
    <w:next w:val="Normal"/>
    <w:autoRedefine/>
    <w:semiHidden/>
    <w:rsid w:val="005F3EF9"/>
    <w:pPr>
      <w:numPr>
        <w:numId w:val="7"/>
      </w:numPr>
      <w:spacing w:before="40" w:after="0" w:line="240" w:lineRule="auto"/>
    </w:pPr>
    <w:rPr>
      <w:rFonts w:eastAsia="MS Mincho"/>
      <w:szCs w:val="24"/>
      <w:lang w:val="en-GB" w:eastAsia="en-GB"/>
    </w:rPr>
  </w:style>
  <w:style w:type="paragraph" w:customStyle="1" w:styleId="TH">
    <w:name w:val="TH"/>
    <w:basedOn w:val="Normal"/>
    <w:link w:val="THChar"/>
    <w:qFormat/>
    <w:rsid w:val="005F3EF9"/>
    <w:pPr>
      <w:keepNext/>
      <w:keepLines/>
      <w:overflowPunct w:val="0"/>
      <w:autoSpaceDE w:val="0"/>
      <w:autoSpaceDN w:val="0"/>
      <w:adjustRightInd w:val="0"/>
      <w:spacing w:before="60" w:after="180" w:line="240" w:lineRule="auto"/>
      <w:jc w:val="center"/>
      <w:textAlignment w:val="baseline"/>
    </w:pPr>
    <w:rPr>
      <w:rFonts w:eastAsia="Times New Roman"/>
      <w:b/>
      <w:szCs w:val="20"/>
      <w:lang w:val="x-none" w:eastAsia="x-none"/>
    </w:rPr>
  </w:style>
  <w:style w:type="character" w:customStyle="1" w:styleId="THChar">
    <w:name w:val="TH Char"/>
    <w:link w:val="TH"/>
    <w:qFormat/>
    <w:rsid w:val="005F3EF9"/>
    <w:rPr>
      <w:rFonts w:ascii="Arial" w:eastAsia="Times New Roman" w:hAnsi="Arial"/>
      <w:b/>
      <w:lang w:val="x-none" w:eastAsia="x-none"/>
    </w:rPr>
  </w:style>
  <w:style w:type="paragraph" w:customStyle="1" w:styleId="B2">
    <w:name w:val="B2"/>
    <w:basedOn w:val="List2"/>
    <w:link w:val="B2Char"/>
    <w:qFormat/>
    <w:rsid w:val="00DD6DCD"/>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DD6DCD"/>
    <w:rPr>
      <w:rFonts w:ascii="Times New Roman" w:eastAsia="Times New Roman" w:hAnsi="Times New Roman"/>
      <w:lang w:val="x-none" w:eastAsia="x-none"/>
    </w:rPr>
  </w:style>
  <w:style w:type="paragraph" w:customStyle="1" w:styleId="B3">
    <w:name w:val="B3"/>
    <w:basedOn w:val="List3"/>
    <w:link w:val="B3Char2"/>
    <w:qFormat/>
    <w:rsid w:val="00DD6DCD"/>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DD6DCD"/>
    <w:rPr>
      <w:rFonts w:ascii="Times New Roman" w:eastAsia="Times New Roman" w:hAnsi="Times New Roman"/>
      <w:lang w:val="x-none" w:eastAsia="x-none"/>
    </w:rPr>
  </w:style>
  <w:style w:type="paragraph" w:customStyle="1" w:styleId="EditorsNote">
    <w:name w:val="Editor's Note"/>
    <w:aliases w:val="EN"/>
    <w:basedOn w:val="NO"/>
    <w:link w:val="EditorsNoteChar"/>
    <w:qFormat/>
    <w:rsid w:val="00DD6DCD"/>
    <w:pPr>
      <w:overflowPunct w:val="0"/>
      <w:autoSpaceDE w:val="0"/>
      <w:autoSpaceDN w:val="0"/>
      <w:adjustRightInd w:val="0"/>
      <w:textAlignment w:val="baseline"/>
    </w:pPr>
    <w:rPr>
      <w:color w:val="FF0000"/>
      <w:lang w:val="x-none" w:eastAsia="x-none"/>
    </w:rPr>
  </w:style>
  <w:style w:type="character" w:customStyle="1" w:styleId="EditorsNoteChar">
    <w:name w:val="Editor's Note Char"/>
    <w:aliases w:val="EN Char"/>
    <w:link w:val="EditorsNote"/>
    <w:qFormat/>
    <w:rsid w:val="00DD6DCD"/>
    <w:rPr>
      <w:rFonts w:ascii="Times New Roman" w:eastAsia="Times New Roman" w:hAnsi="Times New Roman"/>
      <w:color w:val="FF0000"/>
      <w:lang w:val="x-none" w:eastAsia="x-none"/>
    </w:rPr>
  </w:style>
  <w:style w:type="paragraph" w:styleId="List2">
    <w:name w:val="List 2"/>
    <w:basedOn w:val="Normal"/>
    <w:uiPriority w:val="99"/>
    <w:semiHidden/>
    <w:unhideWhenUsed/>
    <w:rsid w:val="00DD6DCD"/>
    <w:pPr>
      <w:ind w:left="566" w:hanging="283"/>
      <w:contextualSpacing/>
    </w:pPr>
  </w:style>
  <w:style w:type="paragraph" w:styleId="List3">
    <w:name w:val="List 3"/>
    <w:basedOn w:val="Normal"/>
    <w:uiPriority w:val="99"/>
    <w:semiHidden/>
    <w:unhideWhenUsed/>
    <w:rsid w:val="00DD6DCD"/>
    <w:pPr>
      <w:ind w:left="849" w:hanging="283"/>
      <w:contextualSpacing/>
    </w:pPr>
  </w:style>
  <w:style w:type="paragraph" w:customStyle="1" w:styleId="EmailDiscussion">
    <w:name w:val="EmailDiscussion"/>
    <w:basedOn w:val="Normal"/>
    <w:next w:val="EmailDiscussion2"/>
    <w:link w:val="EmailDiscussionChar"/>
    <w:qFormat/>
    <w:rsid w:val="00336BC6"/>
    <w:pPr>
      <w:numPr>
        <w:numId w:val="12"/>
      </w:numPr>
      <w:spacing w:before="40" w:after="0" w:line="240" w:lineRule="auto"/>
    </w:pPr>
    <w:rPr>
      <w:rFonts w:eastAsia="MS Mincho"/>
      <w:b/>
      <w:szCs w:val="24"/>
      <w:lang w:val="en-GB" w:eastAsia="en-GB"/>
    </w:rPr>
  </w:style>
  <w:style w:type="character" w:customStyle="1" w:styleId="EmailDiscussionChar">
    <w:name w:val="EmailDiscussion Char"/>
    <w:link w:val="EmailDiscussion"/>
    <w:rsid w:val="00336BC6"/>
    <w:rPr>
      <w:rFonts w:ascii="Arial" w:eastAsia="MS Mincho" w:hAnsi="Arial"/>
      <w:b/>
      <w:szCs w:val="24"/>
      <w:lang w:val="en-GB" w:eastAsia="en-GB"/>
    </w:rPr>
  </w:style>
  <w:style w:type="paragraph" w:customStyle="1" w:styleId="EmailDiscussion2">
    <w:name w:val="EmailDiscussion2"/>
    <w:basedOn w:val="Doc-text2"/>
    <w:qFormat/>
    <w:rsid w:val="00336BC6"/>
  </w:style>
  <w:style w:type="table" w:customStyle="1" w:styleId="TableGrid1">
    <w:name w:val="Table Grid1"/>
    <w:basedOn w:val="TableNormal"/>
    <w:next w:val="TableGrid"/>
    <w:rsid w:val="00F62C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F6A0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787089637">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45857748">
      <w:bodyDiv w:val="1"/>
      <w:marLeft w:val="0"/>
      <w:marRight w:val="0"/>
      <w:marTop w:val="0"/>
      <w:marBottom w:val="0"/>
      <w:divBdr>
        <w:top w:val="none" w:sz="0" w:space="0" w:color="auto"/>
        <w:left w:val="none" w:sz="0" w:space="0" w:color="auto"/>
        <w:bottom w:val="none" w:sz="0" w:space="0" w:color="auto"/>
        <w:right w:val="none" w:sz="0" w:space="0" w:color="auto"/>
      </w:divBdr>
    </w:div>
    <w:div w:id="1154373702">
      <w:bodyDiv w:val="1"/>
      <w:marLeft w:val="0"/>
      <w:marRight w:val="0"/>
      <w:marTop w:val="0"/>
      <w:marBottom w:val="0"/>
      <w:divBdr>
        <w:top w:val="none" w:sz="0" w:space="0" w:color="auto"/>
        <w:left w:val="none" w:sz="0" w:space="0" w:color="auto"/>
        <w:bottom w:val="none" w:sz="0" w:space="0" w:color="auto"/>
        <w:right w:val="none" w:sz="0" w:space="0" w:color="auto"/>
      </w:divBdr>
    </w:div>
    <w:div w:id="1162238537">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320812713">
      <w:bodyDiv w:val="1"/>
      <w:marLeft w:val="0"/>
      <w:marRight w:val="0"/>
      <w:marTop w:val="0"/>
      <w:marBottom w:val="0"/>
      <w:divBdr>
        <w:top w:val="none" w:sz="0" w:space="0" w:color="auto"/>
        <w:left w:val="none" w:sz="0" w:space="0" w:color="auto"/>
        <w:bottom w:val="none" w:sz="0" w:space="0" w:color="auto"/>
        <w:right w:val="none" w:sz="0" w:space="0" w:color="auto"/>
      </w:divBdr>
    </w:div>
    <w:div w:id="1364477509">
      <w:bodyDiv w:val="1"/>
      <w:marLeft w:val="0"/>
      <w:marRight w:val="0"/>
      <w:marTop w:val="0"/>
      <w:marBottom w:val="0"/>
      <w:divBdr>
        <w:top w:val="none" w:sz="0" w:space="0" w:color="auto"/>
        <w:left w:val="none" w:sz="0" w:space="0" w:color="auto"/>
        <w:bottom w:val="none" w:sz="0" w:space="0" w:color="auto"/>
        <w:right w:val="none" w:sz="0" w:space="0" w:color="auto"/>
      </w:divBdr>
    </w:div>
    <w:div w:id="1365595000">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1920746015">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7620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1911344_Support%20of%20Conditional%20PSCell%20addition_change.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91A5D-87C8-48A9-BD25-95A11A0F9780}">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3.xml><?xml version="1.0" encoding="utf-8"?>
<ds:datastoreItem xmlns:ds="http://schemas.openxmlformats.org/officeDocument/2006/customXml" ds:itemID="{D3F22CAC-7C67-4C45-B578-BEE2D8FF3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87DCBF-0D1C-43FD-B235-C75638205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936</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4</cp:revision>
  <cp:lastPrinted>2020-02-03T09:50:00Z</cp:lastPrinted>
  <dcterms:created xsi:type="dcterms:W3CDTF">2020-04-09T15:11:00Z</dcterms:created>
  <dcterms:modified xsi:type="dcterms:W3CDTF">2020-04-09T15:11:00Z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be1de58d-4272-4ce4-b3fa-1f2be69f1037</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2048">
    <vt:lpwstr>357,320</vt:lpwstr>
  </property>
</Properties>
</file>